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drawing>
          <wp:inline distT="0" distB="0" distL="0" distR="0">
            <wp:extent cx="2095500" cy="666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rPr>
          <w:b/>
          <w:bCs/>
          <w:color w:val="000000"/>
          <w:sz w:val="30"/>
          <w:szCs w:val="30"/>
        </w:rPr>
        <w:t xml:space="preserve">SOUTH WEST DESIGN AFRICA LIMITED (SWDA)</w:t>
      </w:r>
    </w:p>
    <w:p>
      <w:pPr>
        <w:spacing w:after="40"/>
        <w:jc w:val="center"/>
      </w:pPr>
      <w:r>
        <w:rPr>
          <w:i/>
          <w:iCs/>
          <w:sz w:val="20"/>
          <w:szCs w:val="20"/>
        </w:rPr>
        <w:t xml:space="preserve">RAEC 18-TANK ATC/NME TANK CLEANING PROJECT — Contract/Tender No. CW-68582 / CW-515913</w:t>
      </w:r>
    </w:p>
    <w:p>
      <w:pPr>
        <w:spacing w:after="40"/>
        <w:jc w:val="center"/>
      </w:pPr>
      <w:r>
        <w:rPr>
          <w:b/>
          <w:bCs/>
          <w:color w:val="A29503"/>
          <w:sz w:val="26"/>
          <w:szCs w:val="26"/>
        </w:rPr>
        <w:t xml:space="preserve">SWDA CHEMICAL MANAGEMENT PROCEDURE</w:t>
      </w:r>
    </w:p>
    <w:p>
      <w:pPr>
        <w:spacing w:after="200"/>
        <w:jc w:val="center"/>
      </w:pPr>
      <w:r>
        <w:rPr>
          <w:i/>
          <w:iCs/>
          <w:sz w:val="20"/>
          <w:szCs w:val="20"/>
        </w:rPr>
        <w:t xml:space="preserve">With Applied Hierarchy of Control Measures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480"/>
      </w:tblGrid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RAEC Capability Assessment Reference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Item 5.4(d)-3 — "What process covers performance of chemical risk (and substitution) assessments, to implement necessary mitigating measures and to confirm relevant permit/license from public authorities?"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Requested Evidence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SWDA Chemical Mgmt. Procedures, with Hierarchy of Control Measures, endorsed by MD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Assigned To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Miracle Maduforo (Project Manager — Field Supervisor)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Document Date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06 August 2026</w:t>
            </w:r>
          </w:p>
        </w:tc>
      </w:tr>
    </w:tbl>
    <w:p>
      <w:pPr>
        <w:spacing w:after="110"/>
      </w:pPr>
      <w:r>
        <w:rPr>
          <w:sz w:val="20"/>
          <w:szCs w:val="20"/>
        </w:rPr>
        <w:t xml:space="preserve"/>
      </w:r>
    </w:p>
    <w:p>
      <w:pPr>
        <w:spacing w:after="110"/>
      </w:pPr>
      <w:r>
        <w:rPr>
          <w:sz w:val="20"/>
          <w:szCs w:val="20"/>
        </w:rPr>
        <w:t xml:space="preserve">This procedure sets out how SWDA manages chemical risk across the tank-cleaning project lifecycle — procurement through disposal — and applies the Hierarchy of Controls to the chemicals identified in the companion MSDS/SHOC register (Item 5.2(e)-4 / 5.4(d)-2).</w:t>
      </w:r>
    </w:p>
    <w:p>
      <w:pPr>
        <w:pStyle w:val="Heading1"/>
        <w:pBdr>
          <w:bottom w:val="single" w:color="000000" w:sz="8" w:space="4"/>
        </w:pBdr>
        <w:spacing w:after="120" w:before="260"/>
      </w:pPr>
      <w:r>
        <w:rPr>
          <w:b/>
          <w:bCs/>
          <w:color w:val="000000"/>
          <w:sz w:val="26"/>
          <w:szCs w:val="26"/>
        </w:rPr>
        <w:t xml:space="preserve">1.0  Purpose &amp; Scope</w:t>
      </w:r>
    </w:p>
    <w:p>
      <w:pPr>
        <w:spacing w:after="110"/>
      </w:pPr>
      <w:r>
        <w:rPr>
          <w:sz w:val="20"/>
          <w:szCs w:val="20"/>
        </w:rPr>
        <w:t xml:space="preserve">To ensure all chemicals used, stored, transported or disposed of on SWDA tank-cleaning projects (crude oil/gas oil diluent, detergent, nitrogen, and any process-residual H₂S encountered) are managed to keep chemical risk As Low As Reasonably Practicable (ALARP), consistent with the SWDA – RAEC HSE Plan's Environmental Risk provisions and Occupational Health Policy.</w:t>
      </w:r>
    </w:p>
    <w:p>
      <w:pPr>
        <w:pStyle w:val="Heading1"/>
        <w:pBdr>
          <w:bottom w:val="single" w:color="000000" w:sz="8" w:space="4"/>
        </w:pBdr>
        <w:spacing w:after="120" w:before="260"/>
      </w:pPr>
      <w:r>
        <w:rPr>
          <w:b/>
          <w:bCs/>
          <w:color w:val="000000"/>
          <w:sz w:val="26"/>
          <w:szCs w:val="26"/>
        </w:rPr>
        <w:t xml:space="preserve">2.0  Chemical Management Procedure</w:t>
      </w:r>
    </w:p>
    <w:p>
      <w:pPr>
        <w:spacing w:after="90" w:before="180"/>
      </w:pPr>
      <w:r>
        <w:rPr>
          <w:b/>
          <w:bCs/>
          <w:color w:val="A29503"/>
          <w:sz w:val="22"/>
          <w:szCs w:val="22"/>
        </w:rPr>
        <w:t xml:space="preserve">2.1  Procurement &amp; Substitution Review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sz w:val="20"/>
          <w:szCs w:val="20"/>
        </w:rPr>
        <w:t xml:space="preserve">Before any new chemical is introduced to a project, the Site Safety Manager reviews whether a less hazardous substitute is available (Chemical Alternatives Assessment).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sz w:val="20"/>
          <w:szCs w:val="20"/>
        </w:rPr>
        <w:t xml:space="preserve">Only chemicals with a current manufacturer Safety Data Sheet (SDS) on file are approved for site use.</w:t>
      </w:r>
    </w:p>
    <w:p>
      <w:pPr>
        <w:spacing w:after="90" w:before="180"/>
      </w:pPr>
      <w:r>
        <w:rPr>
          <w:b/>
          <w:bCs/>
          <w:color w:val="A29503"/>
          <w:sz w:val="22"/>
          <w:szCs w:val="22"/>
        </w:rPr>
        <w:t xml:space="preserve">2.2  Inventory &amp; Tracking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sz w:val="20"/>
          <w:szCs w:val="20"/>
        </w:rPr>
        <w:t xml:space="preserve">A centralized Chemical Inventory Register is maintained at the Lagos base office and mirrored at each site, recording chemical name, quantity held, location, and SDS reference.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sz w:val="20"/>
          <w:szCs w:val="20"/>
        </w:rPr>
        <w:t xml:space="preserve">Daily/weekly usage quantities are logged against the inventory for each active task (e.g., ATC diluent consumption, nitrogen cylinder usage).</w:t>
      </w:r>
    </w:p>
    <w:p>
      <w:pPr>
        <w:spacing w:after="90" w:before="180"/>
      </w:pPr>
      <w:r>
        <w:rPr>
          <w:b/>
          <w:bCs/>
          <w:color w:val="A29503"/>
          <w:sz w:val="22"/>
          <w:szCs w:val="22"/>
        </w:rPr>
        <w:t xml:space="preserve">2.3  Storage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sz w:val="20"/>
          <w:szCs w:val="20"/>
        </w:rPr>
        <w:t xml:space="preserve">Flammable/hazardous chemicals (crude oil, gas oil) are held in bunded storage, segregated from incompatible materials and ignition sources.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sz w:val="20"/>
          <w:szCs w:val="20"/>
        </w:rPr>
        <w:t xml:space="preserve">Compressed gases (nitrogen) are secured, leak-checked, and stored upright with valve protection in place.</w:t>
      </w:r>
    </w:p>
    <w:p>
      <w:pPr>
        <w:spacing w:after="90" w:before="180"/>
      </w:pPr>
      <w:r>
        <w:rPr>
          <w:b/>
          <w:bCs/>
          <w:color w:val="A29503"/>
          <w:sz w:val="22"/>
          <w:szCs w:val="22"/>
        </w:rPr>
        <w:t xml:space="preserve">2.4  Handling &amp; Use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sz w:val="20"/>
          <w:szCs w:val="20"/>
        </w:rPr>
        <w:t xml:space="preserve">All chemical handling tasks require a Permit to Work and, where applicable, a completed SHOC Card review before work begins.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sz w:val="20"/>
          <w:szCs w:val="20"/>
        </w:rPr>
        <w:t xml:space="preserve">PPE specified on the relevant SHOC Card (gloves, goggles, ATEX equipment, gas detectors) is mandatory and verified by the On-Site HSE Officer before task start.</w:t>
      </w:r>
    </w:p>
    <w:p>
      <w:pPr>
        <w:spacing w:after="90" w:before="180"/>
      </w:pPr>
      <w:r>
        <w:rPr>
          <w:b/>
          <w:bCs/>
          <w:color w:val="A29503"/>
          <w:sz w:val="22"/>
          <w:szCs w:val="22"/>
        </w:rPr>
        <w:t xml:space="preserve">2.5  Transport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sz w:val="20"/>
          <w:szCs w:val="20"/>
        </w:rPr>
        <w:t xml:space="preserve">Chemicals are transported in approved, correctly labelled containers on vehicles meeting SWDA's Moving Plant &amp; Equipment controls (speed limits, licensed drivers, approved vehicles).</w:t>
      </w:r>
    </w:p>
    <w:p>
      <w:pPr>
        <w:spacing w:after="90" w:before="180"/>
      </w:pPr>
      <w:r>
        <w:rPr>
          <w:b/>
          <w:bCs/>
          <w:color w:val="A29503"/>
          <w:sz w:val="22"/>
          <w:szCs w:val="22"/>
        </w:rPr>
        <w:t xml:space="preserve">2.6  Spill Response &amp; Disposal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sz w:val="20"/>
          <w:szCs w:val="20"/>
        </w:rPr>
        <w:t xml:space="preserve">Oil Spill Kits and Chemical Spill Kits are positioned at all active work areas; any spill triggers the Environmental Risk response under the HSE Plan.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sz w:val="20"/>
          <w:szCs w:val="20"/>
        </w:rPr>
        <w:t xml:space="preserve">Waste chemicals and contaminated materials are classified, labelled, and disposed of through SWDA's Waste Management Plan (WMP), in line with NESREA/NOSDRA requirements.</w:t>
      </w:r>
    </w:p>
    <w:p>
      <w:pPr>
        <w:spacing w:after="90" w:before="180"/>
      </w:pPr>
      <w:r>
        <w:rPr>
          <w:b/>
          <w:bCs/>
          <w:color w:val="A29503"/>
          <w:sz w:val="22"/>
          <w:szCs w:val="22"/>
        </w:rPr>
        <w:t xml:space="preserve">2.7  Review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sz w:val="20"/>
          <w:szCs w:val="20"/>
        </w:rPr>
        <w:t xml:space="preserve">The Chemical Inventory and this Procedure are reviewed annually, at each project mobilization, and whenever a new chemical is proposed for use.</w:t>
      </w:r>
    </w:p>
    <w:p>
      <w:pPr>
        <w:pStyle w:val="Heading1"/>
        <w:pBdr>
          <w:bottom w:val="single" w:color="000000" w:sz="8" w:space="4"/>
        </w:pBdr>
        <w:spacing w:after="120" w:before="260"/>
      </w:pPr>
      <w:r>
        <w:rPr>
          <w:b/>
          <w:bCs/>
          <w:color w:val="000000"/>
          <w:sz w:val="26"/>
          <w:szCs w:val="26"/>
        </w:rPr>
        <w:t xml:space="preserve">3.0  Hierarchy of Control Measures — Applied to SWDA's Likely Chemicals</w:t>
      </w:r>
    </w:p>
    <w:p>
      <w:pPr>
        <w:spacing w:after="110"/>
      </w:pPr>
      <w:r>
        <w:rPr>
          <w:sz w:val="20"/>
          <w:szCs w:val="20"/>
        </w:rPr>
        <w:t xml:space="preserve">Per accepted HSE practice (and consistent with the HSE Plan's approach to Risk Controls in Section 3.3), SWDA applies controls in the following order of preference: Elimination → Substitution → Engineering Controls → Administrative Controls → Personal Protective Equipment (PPE), used in combination where a single level does not sufficiently reduce risk.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4680"/>
        <w:gridCol w:w="3600"/>
      </w:tblGrid>
      <w:tr>
        <w:tc>
          <w:tcPr>
            <w:tcW w:type="dxa" w:w="1800"/>
            <w:shd w:fill="000000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Control Level</w:t>
            </w:r>
          </w:p>
        </w:tc>
        <w:tc>
          <w:tcPr>
            <w:tcW w:type="dxa" w:w="4680"/>
            <w:shd w:fill="000000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Description</w:t>
            </w:r>
          </w:p>
        </w:tc>
        <w:tc>
          <w:tcPr>
            <w:tcW w:type="dxa" w:w="3600"/>
            <w:shd w:fill="000000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Applied Example</w:t>
            </w:r>
          </w:p>
        </w:tc>
      </w:tr>
      <w:tr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1. Elimination</w:t>
            </w:r>
          </w:p>
        </w:tc>
        <w:tc>
          <w:tcPr>
            <w:tcW w:type="dxa" w:w="468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Remove the hazardous chemical/task entirely where possible</w:t>
            </w:r>
          </w:p>
        </w:tc>
        <w:tc>
          <w:tcPr>
            <w:tcW w:type="dxa" w:w="3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Automatic Tank Cleaning (ATC) is employed specifically to eliminate the need for manual entry/contact with tank contents wherever the tank condition allows</w:t>
            </w:r>
          </w:p>
        </w:tc>
      </w:tr>
      <w:tr>
        <w:tc>
          <w:tcPr>
            <w:tcW w:type="dxa" w:w="1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2. Substitution</w:t>
            </w:r>
          </w:p>
        </w:tc>
        <w:tc>
          <w:tcPr>
            <w:tcW w:type="dxa" w:w="46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Replace with a less hazardous substance or method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Use of lower-toxicity detergents where technically acceptable for cleaning performance</w:t>
            </w:r>
          </w:p>
        </w:tc>
      </w:tr>
      <w:tr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3. Engineering Controls</w:t>
            </w:r>
          </w:p>
        </w:tc>
        <w:tc>
          <w:tcPr>
            <w:tcW w:type="dxa" w:w="468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Isolate people from the hazard through equipment/design</w:t>
            </w:r>
          </w:p>
        </w:tc>
        <w:tc>
          <w:tcPr>
            <w:tcW w:type="dxa" w:w="3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Tank purged and held under inert nitrogen atmosphere with automatic O₂ shutdown above 8%; ATEX-rated pumps and bonded hosing for diluent transfer; fixed and personal H₂S/O₂ monitors with automatic alarms</w:t>
            </w:r>
          </w:p>
        </w:tc>
      </w:tr>
      <w:tr>
        <w:tc>
          <w:tcPr>
            <w:tcW w:type="dxa" w:w="1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4. Administrative Controls</w:t>
            </w:r>
          </w:p>
        </w:tc>
        <w:tc>
          <w:tcPr>
            <w:tcW w:type="dxa" w:w="46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Procedures, permits, training and scheduling that reduce exposure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Permit to Work system; SHOC Card sign-off before task start; CSE entry only during daylight hours (out-of-hours by exception); rotation of entry personnel to prevent exhaustion; toolbox talks before chemical-handling tasks</w:t>
            </w:r>
          </w:p>
        </w:tc>
      </w:tr>
      <w:tr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5. PPE</w:t>
            </w:r>
          </w:p>
        </w:tc>
        <w:tc>
          <w:tcPr>
            <w:tcW w:type="dxa" w:w="468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Personal protective equipment as the last line of defence</w:t>
            </w:r>
          </w:p>
        </w:tc>
        <w:tc>
          <w:tcPr>
            <w:tcW w:type="dxa" w:w="3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Chemical-resistant gloves, coveralls, safety glasses/goggles, SCBA/Escape Sets, 4-Gas Detectors per the relevant SHOC Card</w:t>
            </w:r>
          </w:p>
        </w:tc>
      </w:tr>
    </w:tbl>
    <w:p>
      <w:pPr>
        <w:spacing w:after="110"/>
      </w:pPr>
      <w:r>
        <w:rPr>
          <w:sz w:val="20"/>
          <w:szCs w:val="20"/>
        </w:rPr>
        <w:t xml:space="preserve">This hierarchy is applied and documented on the Risk Assessment for every chemical-handling task before work is authorized — consistent with the RAM methodology in Section 5.1(g) of this evidence set (Safety &amp; Control Systems / ALARP).</w:t>
      </w:r>
    </w:p>
    <w:p>
      <w:pPr>
        <w:pStyle w:val="Heading1"/>
        <w:pBdr>
          <w:bottom w:val="single" w:color="000000" w:sz="8" w:space="4"/>
        </w:pBdr>
        <w:spacing w:after="120" w:before="260"/>
      </w:pPr>
      <w:r>
        <w:rPr>
          <w:b/>
          <w:bCs/>
          <w:color w:val="000000"/>
          <w:sz w:val="26"/>
          <w:szCs w:val="26"/>
        </w:rPr>
        <w:t xml:space="preserve">4.0  MD Endorsement</w:t>
      </w:r>
    </w:p>
    <w:p>
      <w:pPr>
        <w:spacing w:after="110"/>
      </w:pPr>
      <w:r>
        <w:rPr>
          <w:sz w:val="20"/>
          <w:szCs w:val="20"/>
        </w:rPr>
        <w:t xml:space="preserve">I, Gliffeth Wonuigwe, Group CEO / Managing Director of South West Design Africa Limited (SWDA), endorse the Chemical Management Procedure and Hierarchy of Control Measures set out above as SWDA's operative approach to chemical risk management.</w:t>
      </w:r>
    </w:p>
    <w:p>
      <w:pPr>
        <w:spacing w:after="60" w:before="300"/>
      </w:pPr>
      <w:r>
        <w:rPr>
          <w:sz w:val="20"/>
          <w:szCs w:val="20"/>
        </w:rPr>
        <w:t xml:space="preserve">SIGNED: ______________________________</w:t>
      </w:r>
    </w:p>
    <w:p>
      <w:pPr>
        <w:spacing w:after="40"/>
      </w:pPr>
      <w:r>
        <w:rPr>
          <w:b/>
          <w:bCs/>
          <w:sz w:val="20"/>
          <w:szCs w:val="20"/>
        </w:rPr>
        <w:t xml:space="preserve">Gliffeth Wonuigwe — Group CEO / Managing Director, SWDA Limited</w:t>
      </w:r>
    </w:p>
    <w:p>
      <w:r>
        <w:rPr>
          <w:sz w:val="20"/>
          <w:szCs w:val="20"/>
        </w:rPr>
        <w:t xml:space="preserve">Date: 06 August 2026</w:t>
      </w:r>
    </w:p>
    <w:sectPr>
      <w:headerReference w:type="default" r:id="rId7"/>
      <w:footerReference w:type="default" r:id="rId8"/>
      <w:pgSz w:w="12240" w:h="15840" w:orient="portrait"/>
      <w:pgMar w:top="13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29503" w:sz="6" w:space="4"/>
      </w:pBdr>
      <w:jc w:val="center"/>
    </w:pPr>
    <w:r>
      <w:rPr>
        <w:color w:val="808080"/>
        <w:sz w:val="16"/>
        <w:szCs w:val="16"/>
      </w:rPr>
      <w:t xml:space="preserve">SWDA – RAEC 18-Tank ATC/NME Project — Capability Assessment Evidence Pack — Item 5.4(d)-3 — Page </w:t>
    </w:r>
    <w:r>
      <w:rPr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hd w:fill="000000" w:color="auto" w:val="clear"/>
      <w:tabs>
        <w:tab w:val="right" w:pos="10500"/>
      </w:tabs>
    </w:pPr>
    <w:r>
      <w:rPr>
        <w:b/>
        <w:bCs/>
        <w:color w:val="FDE905"/>
        <w:sz w:val="20"/>
        <w:szCs w:val="20"/>
      </w:rPr>
      <w:t xml:space="preserve">SWDA Limited</w:t>
    </w:r>
    <w:r>
      <w:t xml:space="preserve">	</w:t>
    </w:r>
    <w:r>
      <w:rPr>
        <w:b/>
        <w:bCs/>
        <w:i/>
        <w:iCs/>
        <w:color w:val="FFFFFF"/>
        <w:sz w:val="16"/>
        <w:szCs w:val="16"/>
      </w:rPr>
      <w:t xml:space="preserve">ENDORSED: Gliffeth Wonuigwe — Group CEO / Managing Director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985dccecf9789d10fd6374d70d75c65ae45c2ca6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2026-08-06T10:17:51.646Z</dcterms:created>
  <dcterms:modified xsi:type="dcterms:W3CDTF">2026-08-06T10:17:51.646Z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