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40"/>
        <w:jc w:val="center"/>
      </w:pPr>
      <w:r>
        <w:drawing>
          <wp:inline distT="0" distB="0" distL="0" distR="0">
            <wp:extent cx="2095500" cy="66675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2095500" cy="666750"/>
                    </a:xfrm>
                    <a:prstGeom prst="rect">
                      <a:avLst/>
                    </a:prstGeom>
                  </pic:spPr>
                </pic:pic>
              </a:graphicData>
            </a:graphic>
          </wp:inline>
        </w:drawing>
      </w:r>
    </w:p>
    <w:p>
      <w:pPr>
        <w:spacing w:after="40"/>
        <w:jc w:val="center"/>
      </w:pPr>
      <w:r>
        <w:rPr>
          <w:b/>
          <w:bCs/>
          <w:color w:val="000000"/>
          <w:sz w:val="30"/>
          <w:szCs w:val="30"/>
        </w:rPr>
        <w:t xml:space="preserve">SOUTH WEST DESIGN AFRICA LIMITED (SWDA)</w:t>
      </w:r>
    </w:p>
    <w:p>
      <w:pPr>
        <w:spacing w:after="40"/>
        <w:jc w:val="center"/>
      </w:pPr>
      <w:r>
        <w:rPr>
          <w:i/>
          <w:iCs/>
          <w:sz w:val="20"/>
          <w:szCs w:val="20"/>
        </w:rPr>
        <w:t xml:space="preserve">RAEC 18-TANK ATC/NME TANK CLEANING PROJECT — Contract/Tender No. CW-68582 / CW-515913</w:t>
      </w:r>
    </w:p>
    <w:p>
      <w:pPr>
        <w:spacing w:after="40"/>
        <w:jc w:val="center"/>
      </w:pPr>
      <w:r>
        <w:rPr>
          <w:b/>
          <w:bCs/>
          <w:color w:val="A29503"/>
          <w:sz w:val="26"/>
          <w:szCs w:val="26"/>
        </w:rPr>
        <w:t xml:space="preserve">SAFETY &amp; CONTROL SYSTEMS — PTW &amp; EMERGENCY RESPONSE PROCEDURES</w:t>
      </w:r>
    </w:p>
    <w:p>
      <w:pPr>
        <w:spacing w:after="200"/>
        <w:jc w:val="center"/>
      </w:pPr>
      <w:r>
        <w:rPr>
          <w:i/>
          <w:iCs/>
          <w:sz w:val="20"/>
          <w:szCs w:val="20"/>
        </w:rPr>
        <w:t xml:space="preserve">Keeping Risk As Low As Reasonably Practicable (ALARP)</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00"/>
        <w:gridCol w:w="7480"/>
      </w:tblGrid>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RAEC Capability Assessment Reference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Item 5.1(g) — "Has your company established risk control and regulatory compliance plans to manage 'normal' conditions, allowing the organization to manage HSE risks locally while maintaining full compliance with relevant requirements and legislation?"</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Requested Evidence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Evidence of SWDA Safety &amp; Control Systems Procedures, PTW Systems &amp; ER Procedures to keep Risks at ALARP Levels, endorsed by MD</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Assigned To</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Miracle Maduforo (Project Manager — Field Supervisor)</w:t>
            </w:r>
          </w:p>
        </w:tc>
      </w:tr>
      <w:tr>
        <w:tc>
          <w:tcPr>
            <w:tcW w:type="dxa" w:w="2600"/>
            <w:shd w:fill="F2F2F2" w:color="auto" w:val="clear"/>
            <w:tcMar>
              <w:top w:type="dxa" w:w="60"/>
              <w:left w:type="dxa" w:w="80"/>
              <w:bottom w:type="dxa" w:w="60"/>
              <w:right w:type="dxa" w:w="80"/>
            </w:tcMar>
            <w:vAlign w:val="center"/>
          </w:tcPr>
          <w:p>
            <w:pPr>
              <w:jc w:val="left"/>
            </w:pPr>
            <w:r>
              <w:rPr>
                <w:b/>
                <w:bCs/>
                <w:color w:val="000000"/>
                <w:sz w:val="18"/>
                <w:szCs w:val="18"/>
              </w:rPr>
              <w:t xml:space="preserve">Document Date</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06 August 2026</w:t>
            </w:r>
          </w:p>
        </w:tc>
      </w:tr>
    </w:tbl>
    <w:p>
      <w:pPr>
        <w:spacing w:after="110"/>
      </w:pPr>
      <w:r>
        <w:rPr>
          <w:sz w:val="20"/>
          <w:szCs w:val="20"/>
        </w:rPr>
        <w:t xml:space="preserve"/>
      </w:r>
    </w:p>
    <w:p>
      <w:pPr>
        <w:spacing w:after="110"/>
      </w:pPr>
      <w:r>
        <w:rPr>
          <w:sz w:val="20"/>
          <w:szCs w:val="20"/>
        </w:rPr>
        <w:t xml:space="preserve">This document sets out the three layers of SWDA's Safety &amp; Control System — the Permit to Work (PTW) system, the Risk Assessment Matrix (RAM) that drives ALARP decisions, and the Emergency Response (ER) Procedure — all reproduced from the SWDA – RAEC HSE Plan (Sections 3–4 and the HSE Policy Statements) as evidence that risks are kept As Low As Reasonably Practicable.</w:t>
      </w:r>
    </w:p>
    <w:p>
      <w:pPr>
        <w:pStyle w:val="Heading1"/>
        <w:pBdr>
          <w:bottom w:val="single" w:color="000000" w:sz="8" w:space="4"/>
        </w:pBdr>
        <w:spacing w:after="120" w:before="260"/>
      </w:pPr>
      <w:r>
        <w:rPr>
          <w:b/>
          <w:bCs/>
          <w:color w:val="000000"/>
          <w:sz w:val="26"/>
          <w:szCs w:val="26"/>
        </w:rPr>
        <w:t xml:space="preserve">1.0  Permit to Work (PTW) System</w:t>
      </w:r>
    </w:p>
    <w:p>
      <w:pPr>
        <w:spacing w:after="110"/>
      </w:pPr>
      <w:r>
        <w:rPr>
          <w:sz w:val="20"/>
          <w:szCs w:val="20"/>
        </w:rPr>
        <w:t xml:space="preserve">As set out in HSE Plan Section 3.2, no task proceeds without a Baseline Work-site Hazard Assessment (BWHA) and a task-specific permit. The Site Safety Manager (SSM) conducts the BWHA; the Hazard Identification (HI) &amp; Risk Assessment (RA) Matrix (Attachment 1) classifies and controls each identified hazard; and work above Risk Category II (Tolerable) is barred until further mitigation is applied — "no work assessed as Significant (Level III) or High (Level IV – Intolerable) shall be performed without various Mitigative Measures... lowering the Risk Category to Level II."</w:t>
      </w:r>
    </w:p>
    <w:p>
      <w:pPr>
        <w:pStyle w:val="Heading1"/>
        <w:pBdr>
          <w:bottom w:val="single" w:color="000000" w:sz="8" w:space="4"/>
        </w:pBdr>
        <w:spacing w:after="120" w:before="260"/>
      </w:pPr>
      <w:r>
        <w:rPr>
          <w:b/>
          <w:bCs/>
          <w:color w:val="000000"/>
          <w:sz w:val="26"/>
          <w:szCs w:val="26"/>
        </w:rPr>
        <w:t xml:space="preserve">2.0  Risk Assessment Matrix (RAM) — ALARP Determination</w:t>
      </w:r>
    </w:p>
    <w:p>
      <w:pPr>
        <w:spacing w:after="110"/>
      </w:pPr>
      <w:r>
        <w:rPr>
          <w:sz w:val="20"/>
          <w:szCs w:val="20"/>
        </w:rPr>
        <w:t xml:space="preserve">Every task is scored for Consequence (0–5) and Likelihood (1–5) with current controls in place; the resulting Risk Category (I–IV) determines whether work may proceed: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520"/>
        <w:gridCol w:w="2520"/>
        <w:gridCol w:w="2520"/>
        <w:gridCol w:w="2520"/>
      </w:tblGrid>
      <w:tr>
        <w:tc>
          <w:tcPr>
            <w:tcW w:type="dxa" w:w="2520"/>
            <w:shd w:fill="000000" w:color="auto" w:val="clear"/>
            <w:tcMar>
              <w:top w:type="dxa" w:w="60"/>
              <w:left w:type="dxa" w:w="80"/>
              <w:bottom w:type="dxa" w:w="60"/>
              <w:right w:type="dxa" w:w="80"/>
            </w:tcMar>
            <w:vAlign w:val="center"/>
          </w:tcPr>
          <w:p>
            <w:pPr>
              <w:jc w:val="left"/>
            </w:pPr>
            <w:r>
              <w:rPr>
                <w:b/>
                <w:bCs/>
                <w:color w:val="FFFFFF"/>
                <w:sz w:val="18"/>
                <w:szCs w:val="18"/>
              </w:rPr>
              <w:t xml:space="preserve">Category</w:t>
            </w:r>
          </w:p>
        </w:tc>
        <w:tc>
          <w:tcPr>
            <w:tcW w:type="dxa" w:w="2520"/>
            <w:shd w:fill="000000" w:color="auto" w:val="clear"/>
            <w:tcMar>
              <w:top w:type="dxa" w:w="60"/>
              <w:left w:type="dxa" w:w="80"/>
              <w:bottom w:type="dxa" w:w="60"/>
              <w:right w:type="dxa" w:w="80"/>
            </w:tcMar>
            <w:vAlign w:val="center"/>
          </w:tcPr>
          <w:p>
            <w:pPr>
              <w:jc w:val="left"/>
            </w:pPr>
            <w:r>
              <w:rPr>
                <w:b/>
                <w:bCs/>
                <w:color w:val="FFFFFF"/>
                <w:sz w:val="18"/>
                <w:szCs w:val="18"/>
              </w:rPr>
              <w:t xml:space="preserve">Score Range</w:t>
            </w:r>
          </w:p>
        </w:tc>
        <w:tc>
          <w:tcPr>
            <w:tcW w:type="dxa" w:w="2520"/>
            <w:shd w:fill="000000" w:color="auto" w:val="clear"/>
            <w:tcMar>
              <w:top w:type="dxa" w:w="60"/>
              <w:left w:type="dxa" w:w="80"/>
              <w:bottom w:type="dxa" w:w="60"/>
              <w:right w:type="dxa" w:w="80"/>
            </w:tcMar>
            <w:vAlign w:val="center"/>
          </w:tcPr>
          <w:p>
            <w:pPr>
              <w:jc w:val="left"/>
            </w:pPr>
            <w:r>
              <w:rPr>
                <w:b/>
                <w:bCs/>
                <w:color w:val="FFFFFF"/>
                <w:sz w:val="18"/>
                <w:szCs w:val="18"/>
              </w:rPr>
              <w:t xml:space="preserve">Description</w:t>
            </w:r>
          </w:p>
        </w:tc>
        <w:tc>
          <w:tcPr>
            <w:tcW w:type="dxa" w:w="2520"/>
            <w:shd w:fill="000000" w:color="auto" w:val="clear"/>
            <w:tcMar>
              <w:top w:type="dxa" w:w="60"/>
              <w:left w:type="dxa" w:w="80"/>
              <w:bottom w:type="dxa" w:w="60"/>
              <w:right w:type="dxa" w:w="80"/>
            </w:tcMar>
            <w:vAlign w:val="center"/>
          </w:tcPr>
          <w:p>
            <w:pPr>
              <w:jc w:val="left"/>
            </w:pPr>
            <w:r>
              <w:rPr>
                <w:b/>
                <w:bCs/>
                <w:color w:val="FFFFFF"/>
                <w:sz w:val="18"/>
                <w:szCs w:val="18"/>
              </w:rPr>
              <w:t xml:space="preserve">Action</w:t>
            </w:r>
          </w:p>
        </w:tc>
      </w:tr>
      <w:tr>
        <w:tc>
          <w:tcPr>
            <w:tcW w:type="dxa" w:w="2520"/>
            <w:shd w:fill="F2F2F2" w:color="auto" w:val="clear"/>
            <w:tcMar>
              <w:top w:type="dxa" w:w="60"/>
              <w:left w:type="dxa" w:w="80"/>
              <w:bottom w:type="dxa" w:w="60"/>
              <w:right w:type="dxa" w:w="80"/>
            </w:tcMar>
            <w:vAlign w:val="center"/>
          </w:tcPr>
          <w:p>
            <w:pPr>
              <w:jc w:val="center"/>
            </w:pPr>
            <w:r>
              <w:rPr>
                <w:b w:val="false"/>
                <w:bCs w:val="false"/>
                <w:color w:val="000000"/>
                <w:sz w:val="18"/>
                <w:szCs w:val="18"/>
              </w:rPr>
              <w:t xml:space="preserve">IV</w:t>
            </w:r>
          </w:p>
        </w:tc>
        <w:tc>
          <w:tcPr>
            <w:tcW w:type="dxa" w:w="2520"/>
            <w:tcMar>
              <w:top w:type="dxa" w:w="60"/>
              <w:left w:type="dxa" w:w="80"/>
              <w:bottom w:type="dxa" w:w="60"/>
              <w:right w:type="dxa" w:w="80"/>
            </w:tcMar>
            <w:vAlign w:val="center"/>
          </w:tcPr>
          <w:p>
            <w:pPr>
              <w:jc w:val="center"/>
            </w:pPr>
            <w:r>
              <w:rPr>
                <w:b w:val="false"/>
                <w:bCs w:val="false"/>
                <w:color w:val="000000"/>
                <w:sz w:val="18"/>
                <w:szCs w:val="18"/>
              </w:rPr>
              <w:t xml:space="preserve">17–25</w:t>
            </w:r>
          </w:p>
        </w:tc>
        <w:tc>
          <w:tcPr>
            <w:tcW w:type="dxa" w:w="2520"/>
            <w:tcMar>
              <w:top w:type="dxa" w:w="60"/>
              <w:left w:type="dxa" w:w="80"/>
              <w:bottom w:type="dxa" w:w="60"/>
              <w:right w:type="dxa" w:w="80"/>
            </w:tcMar>
            <w:vAlign w:val="center"/>
          </w:tcPr>
          <w:p>
            <w:pPr>
              <w:jc w:val="left"/>
            </w:pPr>
            <w:r>
              <w:rPr>
                <w:b w:val="false"/>
                <w:bCs w:val="false"/>
                <w:color w:val="000000"/>
                <w:sz w:val="18"/>
                <w:szCs w:val="18"/>
              </w:rPr>
              <w:t xml:space="preserve">High</w:t>
            </w:r>
          </w:p>
        </w:tc>
        <w:tc>
          <w:tcPr>
            <w:tcW w:type="dxa" w:w="2520"/>
            <w:tcMar>
              <w:top w:type="dxa" w:w="60"/>
              <w:left w:type="dxa" w:w="80"/>
              <w:bottom w:type="dxa" w:w="60"/>
              <w:right w:type="dxa" w:w="80"/>
            </w:tcMar>
            <w:vAlign w:val="center"/>
          </w:tcPr>
          <w:p>
            <w:pPr>
              <w:jc w:val="left"/>
            </w:pPr>
            <w:r>
              <w:rPr>
                <w:b w:val="false"/>
                <w:bCs w:val="false"/>
                <w:color w:val="000000"/>
                <w:sz w:val="18"/>
                <w:szCs w:val="18"/>
              </w:rPr>
              <w:t xml:space="preserve">Mitigate with highest priority — work barred</w:t>
            </w:r>
          </w:p>
        </w:tc>
      </w:tr>
      <w:tr>
        <w:tc>
          <w:tcPr>
            <w:tcW w:type="dxa" w:w="2520"/>
            <w:shd w:fill="F2F2F2" w:color="auto" w:val="clear"/>
            <w:tcMar>
              <w:top w:type="dxa" w:w="60"/>
              <w:left w:type="dxa" w:w="80"/>
              <w:bottom w:type="dxa" w:w="60"/>
              <w:right w:type="dxa" w:w="80"/>
            </w:tcMar>
            <w:vAlign w:val="center"/>
          </w:tcPr>
          <w:p>
            <w:pPr>
              <w:jc w:val="center"/>
            </w:pPr>
            <w:r>
              <w:rPr>
                <w:b w:val="false"/>
                <w:bCs w:val="false"/>
                <w:color w:val="000000"/>
                <w:sz w:val="18"/>
                <w:szCs w:val="18"/>
              </w:rPr>
              <w:t xml:space="preserve">III</w:t>
            </w:r>
          </w:p>
        </w:tc>
        <w:tc>
          <w:tcPr>
            <w:tcW w:type="dxa" w:w="2520"/>
            <w:tcMar>
              <w:top w:type="dxa" w:w="60"/>
              <w:left w:type="dxa" w:w="80"/>
              <w:bottom w:type="dxa" w:w="60"/>
              <w:right w:type="dxa" w:w="80"/>
            </w:tcMar>
            <w:vAlign w:val="center"/>
          </w:tcPr>
          <w:p>
            <w:pPr>
              <w:jc w:val="center"/>
            </w:pPr>
            <w:r>
              <w:rPr>
                <w:b w:val="false"/>
                <w:bCs w:val="false"/>
                <w:color w:val="000000"/>
                <w:sz w:val="18"/>
                <w:szCs w:val="18"/>
              </w:rPr>
              <w:t xml:space="preserve">12–16</w:t>
            </w:r>
          </w:p>
        </w:tc>
        <w:tc>
          <w:tcPr>
            <w:tcW w:type="dxa" w:w="2520"/>
            <w:tcMar>
              <w:top w:type="dxa" w:w="60"/>
              <w:left w:type="dxa" w:w="80"/>
              <w:bottom w:type="dxa" w:w="60"/>
              <w:right w:type="dxa" w:w="80"/>
            </w:tcMar>
            <w:vAlign w:val="center"/>
          </w:tcPr>
          <w:p>
            <w:pPr>
              <w:jc w:val="left"/>
            </w:pPr>
            <w:r>
              <w:rPr>
                <w:b w:val="false"/>
                <w:bCs w:val="false"/>
                <w:color w:val="000000"/>
                <w:sz w:val="18"/>
                <w:szCs w:val="18"/>
              </w:rPr>
              <w:t xml:space="preserve">Significant</w:t>
            </w:r>
          </w:p>
        </w:tc>
        <w:tc>
          <w:tcPr>
            <w:tcW w:type="dxa" w:w="2520"/>
            <w:tcMar>
              <w:top w:type="dxa" w:w="60"/>
              <w:left w:type="dxa" w:w="80"/>
              <w:bottom w:type="dxa" w:w="60"/>
              <w:right w:type="dxa" w:w="80"/>
            </w:tcMar>
            <w:vAlign w:val="center"/>
          </w:tcPr>
          <w:p>
            <w:pPr>
              <w:jc w:val="left"/>
            </w:pPr>
            <w:r>
              <w:rPr>
                <w:b w:val="false"/>
                <w:bCs w:val="false"/>
                <w:color w:val="000000"/>
                <w:sz w:val="18"/>
                <w:szCs w:val="18"/>
              </w:rPr>
              <w:t xml:space="preserve">Mitigate with priority — work barred until reduced</w:t>
            </w:r>
          </w:p>
        </w:tc>
      </w:tr>
      <w:tr>
        <w:tc>
          <w:tcPr>
            <w:tcW w:type="dxa" w:w="2520"/>
            <w:shd w:fill="F2F2F2" w:color="auto" w:val="clear"/>
            <w:tcMar>
              <w:top w:type="dxa" w:w="60"/>
              <w:left w:type="dxa" w:w="80"/>
              <w:bottom w:type="dxa" w:w="60"/>
              <w:right w:type="dxa" w:w="80"/>
            </w:tcMar>
            <w:vAlign w:val="center"/>
          </w:tcPr>
          <w:p>
            <w:pPr>
              <w:jc w:val="center"/>
            </w:pPr>
            <w:r>
              <w:rPr>
                <w:b w:val="false"/>
                <w:bCs w:val="false"/>
                <w:color w:val="000000"/>
                <w:sz w:val="18"/>
                <w:szCs w:val="18"/>
              </w:rPr>
              <w:t xml:space="preserve">II</w:t>
            </w:r>
          </w:p>
        </w:tc>
        <w:tc>
          <w:tcPr>
            <w:tcW w:type="dxa" w:w="2520"/>
            <w:tcMar>
              <w:top w:type="dxa" w:w="60"/>
              <w:left w:type="dxa" w:w="80"/>
              <w:bottom w:type="dxa" w:w="60"/>
              <w:right w:type="dxa" w:w="80"/>
            </w:tcMar>
            <w:vAlign w:val="center"/>
          </w:tcPr>
          <w:p>
            <w:pPr>
              <w:jc w:val="center"/>
            </w:pPr>
            <w:r>
              <w:rPr>
                <w:b w:val="false"/>
                <w:bCs w:val="false"/>
                <w:color w:val="000000"/>
                <w:sz w:val="18"/>
                <w:szCs w:val="18"/>
              </w:rPr>
              <w:t xml:space="preserve">5–10</w:t>
            </w:r>
          </w:p>
        </w:tc>
        <w:tc>
          <w:tcPr>
            <w:tcW w:type="dxa" w:w="2520"/>
            <w:tcMar>
              <w:top w:type="dxa" w:w="60"/>
              <w:left w:type="dxa" w:w="80"/>
              <w:bottom w:type="dxa" w:w="60"/>
              <w:right w:type="dxa" w:w="80"/>
            </w:tcMar>
            <w:vAlign w:val="center"/>
          </w:tcPr>
          <w:p>
            <w:pPr>
              <w:jc w:val="left"/>
            </w:pPr>
            <w:r>
              <w:rPr>
                <w:b w:val="false"/>
                <w:bCs w:val="false"/>
                <w:color w:val="000000"/>
                <w:sz w:val="18"/>
                <w:szCs w:val="18"/>
              </w:rPr>
              <w:t xml:space="preserve">Medium (ALARP)</w:t>
            </w:r>
          </w:p>
        </w:tc>
        <w:tc>
          <w:tcPr>
            <w:tcW w:type="dxa" w:w="2520"/>
            <w:tcMar>
              <w:top w:type="dxa" w:w="60"/>
              <w:left w:type="dxa" w:w="80"/>
              <w:bottom w:type="dxa" w:w="60"/>
              <w:right w:type="dxa" w:w="80"/>
            </w:tcMar>
            <w:vAlign w:val="center"/>
          </w:tcPr>
          <w:p>
            <w:pPr>
              <w:jc w:val="left"/>
            </w:pPr>
            <w:r>
              <w:rPr>
                <w:b w:val="false"/>
                <w:bCs w:val="false"/>
                <w:color w:val="000000"/>
                <w:sz w:val="18"/>
                <w:szCs w:val="18"/>
              </w:rPr>
              <w:t xml:space="preserve">Controls verified — work may proceed</w:t>
            </w:r>
          </w:p>
        </w:tc>
      </w:tr>
      <w:tr>
        <w:tc>
          <w:tcPr>
            <w:tcW w:type="dxa" w:w="2520"/>
            <w:shd w:fill="F2F2F2" w:color="auto" w:val="clear"/>
            <w:tcMar>
              <w:top w:type="dxa" w:w="60"/>
              <w:left w:type="dxa" w:w="80"/>
              <w:bottom w:type="dxa" w:w="60"/>
              <w:right w:type="dxa" w:w="80"/>
            </w:tcMar>
            <w:vAlign w:val="center"/>
          </w:tcPr>
          <w:p>
            <w:pPr>
              <w:jc w:val="center"/>
            </w:pPr>
            <w:r>
              <w:rPr>
                <w:b w:val="false"/>
                <w:bCs w:val="false"/>
                <w:color w:val="000000"/>
                <w:sz w:val="18"/>
                <w:szCs w:val="18"/>
              </w:rPr>
              <w:t xml:space="preserve">I</w:t>
            </w:r>
          </w:p>
        </w:tc>
        <w:tc>
          <w:tcPr>
            <w:tcW w:type="dxa" w:w="2520"/>
            <w:tcMar>
              <w:top w:type="dxa" w:w="60"/>
              <w:left w:type="dxa" w:w="80"/>
              <w:bottom w:type="dxa" w:w="60"/>
              <w:right w:type="dxa" w:w="80"/>
            </w:tcMar>
            <w:vAlign w:val="center"/>
          </w:tcPr>
          <w:p>
            <w:pPr>
              <w:jc w:val="center"/>
            </w:pPr>
            <w:r>
              <w:rPr>
                <w:b w:val="false"/>
                <w:bCs w:val="false"/>
                <w:color w:val="000000"/>
                <w:sz w:val="18"/>
                <w:szCs w:val="18"/>
              </w:rPr>
              <w:t xml:space="preserve">1–4</w:t>
            </w:r>
          </w:p>
        </w:tc>
        <w:tc>
          <w:tcPr>
            <w:tcW w:type="dxa" w:w="2520"/>
            <w:tcMar>
              <w:top w:type="dxa" w:w="60"/>
              <w:left w:type="dxa" w:w="80"/>
              <w:bottom w:type="dxa" w:w="60"/>
              <w:right w:type="dxa" w:w="80"/>
            </w:tcMar>
            <w:vAlign w:val="center"/>
          </w:tcPr>
          <w:p>
            <w:pPr>
              <w:jc w:val="left"/>
            </w:pPr>
            <w:r>
              <w:rPr>
                <w:b w:val="false"/>
                <w:bCs w:val="false"/>
                <w:color w:val="000000"/>
                <w:sz w:val="18"/>
                <w:szCs w:val="18"/>
              </w:rPr>
              <w:t xml:space="preserve">Low</w:t>
            </w:r>
          </w:p>
        </w:tc>
        <w:tc>
          <w:tcPr>
            <w:tcW w:type="dxa" w:w="2520"/>
            <w:tcMar>
              <w:top w:type="dxa" w:w="60"/>
              <w:left w:type="dxa" w:w="80"/>
              <w:bottom w:type="dxa" w:w="60"/>
              <w:right w:type="dxa" w:w="80"/>
            </w:tcMar>
            <w:vAlign w:val="center"/>
          </w:tcPr>
          <w:p>
            <w:pPr>
              <w:jc w:val="left"/>
            </w:pPr>
            <w:r>
              <w:rPr>
                <w:b w:val="false"/>
                <w:bCs w:val="false"/>
                <w:color w:val="000000"/>
                <w:sz w:val="18"/>
                <w:szCs w:val="18"/>
              </w:rPr>
              <w:t xml:space="preserve">No further mitigation required — work may proceed</w:t>
            </w:r>
          </w:p>
        </w:tc>
      </w:tr>
    </w:tbl>
    <w:p>
      <w:pPr>
        <w:spacing w:after="110"/>
      </w:pPr>
      <w:r>
        <w:rPr>
          <w:sz w:val="20"/>
          <w:szCs w:val="20"/>
        </w:rPr>
        <w:t xml:space="preserve">Barrier requirement (HSE Plan Fig. 5): Intolerable risks require a minimum of 3 independent effective threat barriers and 3 independent recovery-preparedness measures; Tolerable risks require a minimum of 2 of each — the standard SWDA applies before any Category II task is cleared to proceed.</w:t>
      </w:r>
    </w:p>
    <w:p>
      <w:pPr>
        <w:pStyle w:val="Heading1"/>
        <w:pBdr>
          <w:bottom w:val="single" w:color="000000" w:sz="8" w:space="4"/>
        </w:pBdr>
        <w:spacing w:after="120" w:before="260"/>
      </w:pPr>
      <w:r>
        <w:rPr>
          <w:b/>
          <w:bCs/>
          <w:color w:val="000000"/>
          <w:sz w:val="26"/>
          <w:szCs w:val="26"/>
        </w:rPr>
        <w:t xml:space="preserve">3.0  Emergency Response (ER) Procedure — MEDEVAC</w:t>
      </w:r>
    </w:p>
    <w:p>
      <w:pPr>
        <w:spacing w:after="110"/>
      </w:pPr>
      <w:r>
        <w:rPr>
          <w:sz w:val="20"/>
          <w:szCs w:val="20"/>
        </w:rPr>
        <w:t xml:space="preserve">Reproduced from SWDA's Emergency / MEDEVAC Procedure &amp; Accident Reporting policy (HSE Plan, signed 02/01/2026 by the CEO/Managing Director):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600"/>
        <w:gridCol w:w="7480"/>
      </w:tblGrid>
      <w:tr>
        <w:tc>
          <w:tcPr>
            <w:tcW w:type="dxa" w:w="2600"/>
            <w:shd w:fill="000000" w:color="auto" w:val="clear"/>
            <w:tcMar>
              <w:top w:type="dxa" w:w="60"/>
              <w:left w:type="dxa" w:w="80"/>
              <w:bottom w:type="dxa" w:w="60"/>
              <w:right w:type="dxa" w:w="80"/>
            </w:tcMar>
            <w:vAlign w:val="center"/>
          </w:tcPr>
          <w:p>
            <w:pPr>
              <w:jc w:val="left"/>
            </w:pPr>
            <w:r>
              <w:rPr>
                <w:b/>
                <w:bCs/>
                <w:color w:val="FFFFFF"/>
                <w:sz w:val="18"/>
                <w:szCs w:val="18"/>
              </w:rPr>
              <w:t xml:space="preserve">Party</w:t>
            </w:r>
          </w:p>
        </w:tc>
        <w:tc>
          <w:tcPr>
            <w:tcW w:type="dxa" w:w="7480"/>
            <w:shd w:fill="000000" w:color="auto" w:val="clear"/>
            <w:tcMar>
              <w:top w:type="dxa" w:w="60"/>
              <w:left w:type="dxa" w:w="80"/>
              <w:bottom w:type="dxa" w:w="60"/>
              <w:right w:type="dxa" w:w="80"/>
            </w:tcMar>
            <w:vAlign w:val="center"/>
          </w:tcPr>
          <w:p>
            <w:pPr>
              <w:jc w:val="left"/>
            </w:pPr>
            <w:r>
              <w:rPr>
                <w:b/>
                <w:bCs/>
                <w:color w:val="FFFFFF"/>
                <w:sz w:val="18"/>
                <w:szCs w:val="18"/>
              </w:rPr>
              <w:t xml:space="preserve">Action</w:t>
            </w:r>
          </w:p>
        </w:tc>
      </w:tr>
      <w:tr>
        <w:tc>
          <w:tcPr>
            <w:tcW w:type="dxa" w:w="26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Personnel</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Analyse situation, keep calm, do not panic. Contact Site Nurse or First Aider, Supervisor and Safety Adviser. Commence initial emergency control measures.</w:t>
            </w:r>
          </w:p>
        </w:tc>
      </w:tr>
      <w:tr>
        <w:tc>
          <w:tcPr>
            <w:tcW w:type="dxa" w:w="26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Site Nurse / First Aider</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Administer First Aid.</w:t>
            </w:r>
          </w:p>
        </w:tc>
      </w:tr>
      <w:tr>
        <w:tc>
          <w:tcPr>
            <w:tcW w:type="dxa" w:w="26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Site Supervisor / Safety Adviser</w:t>
            </w:r>
          </w:p>
        </w:tc>
        <w:tc>
          <w:tcPr>
            <w:tcW w:type="dxa" w:w="7480"/>
            <w:tcMar>
              <w:top w:type="dxa" w:w="60"/>
              <w:left w:type="dxa" w:w="80"/>
              <w:bottom w:type="dxa" w:w="60"/>
              <w:right w:type="dxa" w:w="80"/>
            </w:tcMar>
            <w:vAlign w:val="center"/>
          </w:tcPr>
          <w:p>
            <w:pPr>
              <w:jc w:val="left"/>
            </w:pPr>
            <w:r>
              <w:rPr>
                <w:b w:val="false"/>
                <w:bCs w:val="false"/>
                <w:color w:val="000000"/>
                <w:sz w:val="18"/>
                <w:szCs w:val="18"/>
              </w:rPr>
              <w:t xml:space="preserve">Contact Client Representative; maintain communication with Base Office stating name(s) of casualty, nature of injury/illness, location, time of accident and pick-up point; evacuate victim to hospital or helicopter pick-up point; conclude MEDEVAC by transferring casualty to Company Retainer Clinic; submit detailed report to client within 24 hours.</w:t>
            </w:r>
          </w:p>
        </w:tc>
      </w:tr>
    </w:tbl>
    <w:p>
      <w:pPr>
        <w:spacing w:after="90" w:before="180"/>
      </w:pPr>
      <w:r>
        <w:rPr>
          <w:b/>
          <w:bCs/>
          <w:color w:val="A29503"/>
          <w:sz w:val="22"/>
          <w:szCs w:val="22"/>
        </w:rPr>
        <w:t xml:space="preserve">Emergency Response Contacts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400"/>
        <w:gridCol w:w="3400"/>
        <w:gridCol w:w="3280"/>
      </w:tblGrid>
      <w:tr>
        <w:tc>
          <w:tcPr>
            <w:tcW w:type="dxa" w:w="3400"/>
            <w:shd w:fill="000000" w:color="auto" w:val="clear"/>
            <w:tcMar>
              <w:top w:type="dxa" w:w="60"/>
              <w:left w:type="dxa" w:w="80"/>
              <w:bottom w:type="dxa" w:w="60"/>
              <w:right w:type="dxa" w:w="80"/>
            </w:tcMar>
            <w:vAlign w:val="center"/>
          </w:tcPr>
          <w:p>
            <w:pPr>
              <w:jc w:val="left"/>
            </w:pPr>
            <w:r>
              <w:rPr>
                <w:b/>
                <w:bCs/>
                <w:color w:val="FFFFFF"/>
                <w:sz w:val="18"/>
                <w:szCs w:val="18"/>
              </w:rPr>
              <w:t xml:space="preserve">Name</w:t>
            </w:r>
          </w:p>
        </w:tc>
        <w:tc>
          <w:tcPr>
            <w:tcW w:type="dxa" w:w="3400"/>
            <w:shd w:fill="000000" w:color="auto" w:val="clear"/>
            <w:tcMar>
              <w:top w:type="dxa" w:w="60"/>
              <w:left w:type="dxa" w:w="80"/>
              <w:bottom w:type="dxa" w:w="60"/>
              <w:right w:type="dxa" w:w="80"/>
            </w:tcMar>
            <w:vAlign w:val="center"/>
          </w:tcPr>
          <w:p>
            <w:pPr>
              <w:jc w:val="left"/>
            </w:pPr>
            <w:r>
              <w:rPr>
                <w:b/>
                <w:bCs/>
                <w:color w:val="FFFFFF"/>
                <w:sz w:val="18"/>
                <w:szCs w:val="18"/>
              </w:rPr>
              <w:t xml:space="preserve">Designation</w:t>
            </w:r>
          </w:p>
        </w:tc>
        <w:tc>
          <w:tcPr>
            <w:tcW w:type="dxa" w:w="3280"/>
            <w:shd w:fill="000000" w:color="auto" w:val="clear"/>
            <w:tcMar>
              <w:top w:type="dxa" w:w="60"/>
              <w:left w:type="dxa" w:w="80"/>
              <w:bottom w:type="dxa" w:w="60"/>
              <w:right w:type="dxa" w:w="80"/>
            </w:tcMar>
            <w:vAlign w:val="center"/>
          </w:tcPr>
          <w:p>
            <w:pPr>
              <w:jc w:val="left"/>
            </w:pPr>
            <w:r>
              <w:rPr>
                <w:b/>
                <w:bCs/>
                <w:color w:val="FFFFFF"/>
                <w:sz w:val="18"/>
                <w:szCs w:val="18"/>
              </w:rPr>
              <w:t xml:space="preserve">Contact</w:t>
            </w:r>
          </w:p>
        </w:tc>
      </w:tr>
      <w:tr>
        <w:tc>
          <w:tcPr>
            <w:tcW w:type="dxa" w:w="34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Mr. Gliffeth Wonuigwe</w:t>
            </w:r>
          </w:p>
        </w:tc>
        <w:tc>
          <w:tcPr>
            <w:tcW w:type="dxa" w:w="3400"/>
            <w:tcMar>
              <w:top w:type="dxa" w:w="60"/>
              <w:left w:type="dxa" w:w="80"/>
              <w:bottom w:type="dxa" w:w="60"/>
              <w:right w:type="dxa" w:w="80"/>
            </w:tcMar>
            <w:vAlign w:val="center"/>
          </w:tcPr>
          <w:p>
            <w:pPr>
              <w:jc w:val="left"/>
            </w:pPr>
            <w:r>
              <w:rPr>
                <w:b w:val="false"/>
                <w:bCs w:val="false"/>
                <w:color w:val="000000"/>
                <w:sz w:val="18"/>
                <w:szCs w:val="18"/>
              </w:rPr>
              <w:t xml:space="preserve">Group CEO / MD</w:t>
            </w:r>
          </w:p>
        </w:tc>
        <w:tc>
          <w:tcPr>
            <w:tcW w:type="dxa" w:w="3280"/>
            <w:tcMar>
              <w:top w:type="dxa" w:w="60"/>
              <w:left w:type="dxa" w:w="80"/>
              <w:bottom w:type="dxa" w:w="60"/>
              <w:right w:type="dxa" w:w="80"/>
            </w:tcMar>
            <w:vAlign w:val="center"/>
          </w:tcPr>
          <w:p>
            <w:pPr>
              <w:jc w:val="left"/>
            </w:pPr>
            <w:r>
              <w:rPr>
                <w:b w:val="false"/>
                <w:bCs w:val="false"/>
                <w:color w:val="000000"/>
                <w:sz w:val="18"/>
                <w:szCs w:val="18"/>
              </w:rPr>
              <w:t xml:space="preserve">0703 333 0673</w:t>
            </w:r>
          </w:p>
        </w:tc>
      </w:tr>
      <w:tr>
        <w:tc>
          <w:tcPr>
            <w:tcW w:type="dxa" w:w="34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Engr. Ned Jessup, P.E.</w:t>
            </w:r>
          </w:p>
        </w:tc>
        <w:tc>
          <w:tcPr>
            <w:tcW w:type="dxa" w:w="3400"/>
            <w:tcMar>
              <w:top w:type="dxa" w:w="60"/>
              <w:left w:type="dxa" w:w="80"/>
              <w:bottom w:type="dxa" w:w="60"/>
              <w:right w:type="dxa" w:w="80"/>
            </w:tcMar>
            <w:vAlign w:val="center"/>
          </w:tcPr>
          <w:p>
            <w:pPr>
              <w:jc w:val="left"/>
            </w:pPr>
            <w:r>
              <w:rPr>
                <w:b w:val="false"/>
                <w:bCs w:val="false"/>
                <w:color w:val="000000"/>
                <w:sz w:val="18"/>
                <w:szCs w:val="18"/>
              </w:rPr>
              <w:t xml:space="preserve">COO / ED – Ops / Projects</w:t>
            </w:r>
          </w:p>
        </w:tc>
        <w:tc>
          <w:tcPr>
            <w:tcW w:type="dxa" w:w="3280"/>
            <w:tcMar>
              <w:top w:type="dxa" w:w="60"/>
              <w:left w:type="dxa" w:w="80"/>
              <w:bottom w:type="dxa" w:w="60"/>
              <w:right w:type="dxa" w:w="80"/>
            </w:tcMar>
            <w:vAlign w:val="center"/>
          </w:tcPr>
          <w:p>
            <w:pPr>
              <w:jc w:val="left"/>
            </w:pPr>
            <w:r>
              <w:rPr>
                <w:b w:val="false"/>
                <w:bCs w:val="false"/>
                <w:color w:val="000000"/>
                <w:sz w:val="18"/>
                <w:szCs w:val="18"/>
              </w:rPr>
              <w:t xml:space="preserve">0802 107 7515</w:t>
            </w:r>
          </w:p>
        </w:tc>
      </w:tr>
      <w:tr>
        <w:tc>
          <w:tcPr>
            <w:tcW w:type="dxa" w:w="3400"/>
            <w:shd w:fill="F2F2F2" w:color="auto" w:val="clear"/>
            <w:tcMar>
              <w:top w:type="dxa" w:w="60"/>
              <w:left w:type="dxa" w:w="80"/>
              <w:bottom w:type="dxa" w:w="60"/>
              <w:right w:type="dxa" w:w="80"/>
            </w:tcMar>
            <w:vAlign w:val="center"/>
          </w:tcPr>
          <w:p>
            <w:pPr>
              <w:jc w:val="left"/>
            </w:pPr>
            <w:r>
              <w:rPr>
                <w:b w:val="false"/>
                <w:bCs w:val="false"/>
                <w:color w:val="000000"/>
                <w:sz w:val="18"/>
                <w:szCs w:val="18"/>
              </w:rPr>
              <w:t xml:space="preserve">Miracle Maduforo</w:t>
            </w:r>
          </w:p>
        </w:tc>
        <w:tc>
          <w:tcPr>
            <w:tcW w:type="dxa" w:w="3400"/>
            <w:tcMar>
              <w:top w:type="dxa" w:w="60"/>
              <w:left w:type="dxa" w:w="80"/>
              <w:bottom w:type="dxa" w:w="60"/>
              <w:right w:type="dxa" w:w="80"/>
            </w:tcMar>
            <w:vAlign w:val="center"/>
          </w:tcPr>
          <w:p>
            <w:pPr>
              <w:jc w:val="left"/>
            </w:pPr>
            <w:r>
              <w:rPr>
                <w:b w:val="false"/>
                <w:bCs w:val="false"/>
                <w:color w:val="000000"/>
                <w:sz w:val="18"/>
                <w:szCs w:val="18"/>
              </w:rPr>
              <w:t xml:space="preserve">Senior Project Manager</w:t>
            </w:r>
          </w:p>
        </w:tc>
        <w:tc>
          <w:tcPr>
            <w:tcW w:type="dxa" w:w="3280"/>
            <w:tcMar>
              <w:top w:type="dxa" w:w="60"/>
              <w:left w:type="dxa" w:w="80"/>
              <w:bottom w:type="dxa" w:w="60"/>
              <w:right w:type="dxa" w:w="80"/>
            </w:tcMar>
            <w:vAlign w:val="center"/>
          </w:tcPr>
          <w:p>
            <w:pPr>
              <w:jc w:val="left"/>
            </w:pPr>
            <w:r>
              <w:rPr>
                <w:b w:val="false"/>
                <w:bCs w:val="false"/>
                <w:color w:val="000000"/>
                <w:sz w:val="18"/>
                <w:szCs w:val="18"/>
              </w:rPr>
              <w:t xml:space="preserve">0908 437 4762</w:t>
            </w:r>
          </w:p>
        </w:tc>
      </w:tr>
    </w:tbl>
    <w:p>
      <w:pPr>
        <w:spacing w:after="110"/>
      </w:pPr>
      <w:r>
        <w:rPr>
          <w:i/>
          <w:iCs/>
          <w:sz w:val="20"/>
          <w:szCs w:val="20"/>
        </w:rPr>
        <w:t xml:space="preserve">Lines of Communication: Accident/Emergency Situation → Site/Project Manager → SWDA Site Office ↔ SWDA Retainer's Clinic → SWDA Office Lagos ↔ SWDA Retainer's Clinic Lagos → Client Loss Prevention / Client Helicopter / Client Project Engineer, as applicable.</w:t>
      </w:r>
    </w:p>
    <w:p>
      <w:pPr>
        <w:pStyle w:val="Heading1"/>
        <w:pBdr>
          <w:bottom w:val="single" w:color="000000" w:sz="8" w:space="4"/>
        </w:pBdr>
        <w:spacing w:after="120" w:before="260"/>
      </w:pPr>
      <w:r>
        <w:rPr>
          <w:b/>
          <w:bCs/>
          <w:color w:val="000000"/>
          <w:sz w:val="26"/>
          <w:szCs w:val="26"/>
        </w:rPr>
        <w:t xml:space="preserve">4.0  How These Three Layers Keep Risk ALARP</w:t>
      </w:r>
    </w:p>
    <w:p>
      <w:pPr>
        <w:pStyle w:val="ListParagraph"/>
        <w:numPr>
          <w:ilvl w:val="0"/>
          <w:numId w:val="2"/>
        </w:numPr>
        <w:spacing w:after="50"/>
      </w:pPr>
      <w:r>
        <w:rPr>
          <w:sz w:val="20"/>
          <w:szCs w:val="20"/>
        </w:rPr>
        <w:t xml:space="preserve">PTW ensures no task starts without a documented, current hazard assessment and named authorizer.</w:t>
      </w:r>
    </w:p>
    <w:p>
      <w:pPr>
        <w:pStyle w:val="ListParagraph"/>
        <w:numPr>
          <w:ilvl w:val="0"/>
          <w:numId w:val="2"/>
        </w:numPr>
        <w:spacing w:after="50"/>
      </w:pPr>
      <w:r>
        <w:rPr>
          <w:sz w:val="20"/>
          <w:szCs w:val="20"/>
        </w:rPr>
        <w:t xml:space="preserve">The RAM ensures no task proceeds above Risk Category II without further mitigation — the quantitative ALARP gate.</w:t>
      </w:r>
    </w:p>
    <w:p>
      <w:pPr>
        <w:pStyle w:val="ListParagraph"/>
        <w:numPr>
          <w:ilvl w:val="0"/>
          <w:numId w:val="2"/>
        </w:numPr>
        <w:spacing w:after="50"/>
      </w:pPr>
      <w:r>
        <w:rPr>
          <w:sz w:val="20"/>
          <w:szCs w:val="20"/>
        </w:rPr>
        <w:t xml:space="preserve">The ER/MEDEVAC procedure ensures that, even with controls in place, a fast and pre-defined escalation path exists if something still goes wrong — the recovery-preparedness layer required by Fig. 5 of the HSE Plan.</w:t>
      </w:r>
    </w:p>
    <w:p>
      <w:pPr>
        <w:pStyle w:val="Heading1"/>
        <w:pBdr>
          <w:bottom w:val="single" w:color="000000" w:sz="8" w:space="4"/>
        </w:pBdr>
        <w:spacing w:after="120" w:before="260"/>
      </w:pPr>
      <w:r>
        <w:rPr>
          <w:b/>
          <w:bCs/>
          <w:color w:val="000000"/>
          <w:sz w:val="26"/>
          <w:szCs w:val="26"/>
        </w:rPr>
        <w:t xml:space="preserve">5.0  MD Endorsement</w:t>
      </w:r>
    </w:p>
    <w:p>
      <w:pPr>
        <w:spacing w:after="110"/>
      </w:pPr>
      <w:r>
        <w:rPr>
          <w:sz w:val="20"/>
          <w:szCs w:val="20"/>
        </w:rPr>
        <w:t xml:space="preserve">I, Gliffeth Wonuigwe, Group CEO / Managing Director of South West Design Africa Limited (SWDA), endorse the Safety &amp; Control Systems Procedures, PTW System and Emergency Response Procedure set out above as SWDA's operative means of keeping risk As Low As Reasonably Practicable (ALARP).</w:t>
      </w:r>
    </w:p>
    <w:p>
      <w:pPr>
        <w:spacing w:after="60" w:before="300"/>
      </w:pPr>
      <w:r>
        <w:rPr>
          <w:sz w:val="20"/>
          <w:szCs w:val="20"/>
        </w:rPr>
        <w:t xml:space="preserve">SIGNED: ______________________________</w:t>
      </w:r>
    </w:p>
    <w:p>
      <w:pPr>
        <w:spacing w:after="40"/>
      </w:pPr>
      <w:r>
        <w:rPr>
          <w:b/>
          <w:bCs/>
          <w:sz w:val="20"/>
          <w:szCs w:val="20"/>
        </w:rPr>
        <w:t xml:space="preserve">Gliffeth Wonuigwe — Group CEO / Managing Director, SWDA Limited</w:t>
      </w:r>
    </w:p>
    <w:p>
      <w:r>
        <w:rPr>
          <w:sz w:val="20"/>
          <w:szCs w:val="20"/>
        </w:rPr>
        <w:t xml:space="preserve">Date: 06 August 2026</w:t>
      </w:r>
    </w:p>
    <w:sectPr>
      <w:headerReference w:type="default" r:id="rId7"/>
      <w:footerReference w:type="default" r:id="rId8"/>
      <w:pgSz w:w="12240" w:h="15840" w:orient="portrait"/>
      <w:pgMar w:top="1300" w:right="1000" w:bottom="10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A29503" w:sz="6" w:space="4"/>
      </w:pBdr>
      <w:jc w:val="center"/>
    </w:pPr>
    <w:r>
      <w:rPr>
        <w:color w:val="808080"/>
        <w:sz w:val="16"/>
        <w:szCs w:val="16"/>
      </w:rPr>
      <w:t xml:space="preserve">SWDA – RAEC 18-Tank ATC/NME Project — Capability Assessment Evidence Pack — Item 5.1(g) — Page </w:t>
    </w:r>
    <w:r>
      <w:rPr>
        <w:color w:val="808080"/>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hd w:fill="000000" w:color="auto" w:val="clear"/>
      <w:tabs>
        <w:tab w:val="right" w:pos="10500"/>
      </w:tabs>
    </w:pPr>
    <w:r>
      <w:rPr>
        <w:b/>
        <w:bCs/>
        <w:color w:val="FDE905"/>
        <w:sz w:val="20"/>
        <w:szCs w:val="20"/>
      </w:rPr>
      <w:t xml:space="preserve">SWDA Limited</w:t>
    </w:r>
    <w:r>
      <w:t xml:space="preserve">	</w:t>
    </w:r>
    <w:r>
      <w:rPr>
        <w:b/>
        <w:bCs/>
        <w:i/>
        <w:iCs/>
        <w:color w:val="FFFFFF"/>
        <w:sz w:val="16"/>
        <w:szCs w:val="16"/>
      </w:rPr>
      <w:t xml:space="preserve">ENDORSED: Gliffeth Wonuigwe — Group CEO / Managing Director</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40" w:hanging="24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985dccecf9789d10fd6374d70d75c65ae45c2ca6.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2026-08-06T10:16:02.515Z</dcterms:created>
  <dcterms:modified xsi:type="dcterms:W3CDTF">2026-08-06T10:16:02.516Z</dcterms:modified>
</cp:coreProperties>
</file>

<file path=docProps/custom.xml><?xml version="1.0" encoding="utf-8"?>
<Properties xmlns="http://schemas.openxmlformats.org/officeDocument/2006/custom-properties" xmlns:vt="http://schemas.openxmlformats.org/officeDocument/2006/docPropsVTypes"/>
</file>