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drawing>
          <wp:inline distT="0" distB="0" distL="0" distR="0">
            <wp:extent cx="2095500" cy="666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b/>
          <w:bCs/>
          <w:color w:val="000000"/>
          <w:sz w:val="30"/>
          <w:szCs w:val="30"/>
        </w:rPr>
        <w:t xml:space="preserve">SOUTH WEST DESIGN AFRICA LIMITED (SWDA)</w:t>
      </w:r>
    </w:p>
    <w:p>
      <w:pPr>
        <w:spacing w:after="40"/>
        <w:jc w:val="center"/>
      </w:pPr>
      <w:r>
        <w:rPr>
          <w:i/>
          <w:iCs/>
          <w:sz w:val="20"/>
          <w:szCs w:val="20"/>
        </w:rPr>
        <w:t xml:space="preserve">RAEC 18-TANK ATC/NME TANK CLEANING PROJECT — Contract/Tender No. CW-68582 / CW-515913</w:t>
      </w:r>
    </w:p>
    <w:p>
      <w:pPr>
        <w:spacing w:after="40"/>
        <w:jc w:val="center"/>
      </w:pPr>
      <w:r>
        <w:rPr>
          <w:b/>
          <w:bCs/>
          <w:color w:val="A29503"/>
          <w:sz w:val="26"/>
          <w:szCs w:val="26"/>
        </w:rPr>
        <w:t xml:space="preserve">LFI CASCADES, LESSONS-LEARNED PROCEDURE &amp; AFTER ACTION REVIEWS</w:t>
      </w:r>
    </w:p>
    <w:p>
      <w:pPr>
        <w:spacing w:after="200"/>
        <w:jc w:val="center"/>
      </w:pPr>
      <w:r>
        <w:rPr>
          <w:i/>
          <w:iCs/>
          <w:sz w:val="20"/>
          <w:szCs w:val="20"/>
        </w:rPr>
        <w:t xml:space="preserve">Agbami FPSO &amp; Utorogu Projects — Drawn from SWDA-HSE-MOM Quarterly Reviews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480"/>
      </w:tblGrid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RAEC Capability Assessment Reference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Item 5.1(f) (also 9.1(c)-1, 9.1(c)-2, 9.1(d)) — "How is learning from incidents, events, non-conformities and good practices from internal and external sources incorporated into risk assessments and their review?"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Requested Evidence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LFI Cascades, Lessons Learned Procedures &amp; After Action Reviews (AARs) for Agbami or Century or Utorogu Projects, endorsed by MD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Assigned To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Miracle Maduforo (Project Manager — Field Supervisor)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Document Date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06 August 2026</w:t>
            </w:r>
          </w:p>
        </w:tc>
      </w:tr>
    </w:tbl>
    <w:p>
      <w:pPr>
        <w:spacing w:after="110"/>
      </w:pPr>
      <w:r>
        <w:rPr>
          <w:sz w:val="20"/>
          <w:szCs w:val="20"/>
        </w:rPr>
        <w:t xml:space="preserve"/>
      </w:r>
    </w:p>
    <w:p>
      <w:pPr>
        <w:spacing w:after="110"/>
      </w:pPr>
      <w:r>
        <w:rPr>
          <w:sz w:val="20"/>
          <w:szCs w:val="20"/>
        </w:rPr>
        <w:t xml:space="preserve">SWDA's Lessons-Learned loop runs through two channels: (1) project-level Learning From Incidents (LFI) cascades captured during and after each campaign, and (2) the quarterly HSE-MS Review Meeting, which formally logs near-misses, root causes and corrective actions (SWDA-HSE-MOM series). This document reproduces the LFI Cascade Procedure, a Lessons-Learned Register drawn from actual quarterly review minutes, and a completed After Action Review (AAR) for the Agbami FPSO 4th Campaign.</w:t>
      </w:r>
    </w:p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1.0  LFI Cascade Procedure (Summary)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Any incident, near-miss, or non-conformance is logged in the Site Incident/Near-Miss Register by the Lead Field Supervisor within 24 hours.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Root cause is determined by the responsible Field Supervisor, reviewed by the On-Site HSE Officer, and an owner/due-date is assigned for corrective action.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The finding and corrective action are cascaded to all site personnel via toolbox talk within one week, and formally tabled at the next HSE-MS Quarterly Review Meeting for company-wide learning.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Closure of the corrective action is verified by the Regulatory Compliance Manager and recorded in the quarterly Minutes of Meeting (MoM).</w:t>
      </w:r>
    </w:p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2.0  Lessons-Learned Register — Drawn from SWDA-HSE-MOM Quarterly Reviews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600"/>
        <w:gridCol w:w="2800"/>
        <w:gridCol w:w="3280"/>
      </w:tblGrid>
      <w:tr>
        <w:tc>
          <w:tcPr>
            <w:tcW w:type="dxa" w:w="140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Quarter</w:t>
            </w:r>
          </w:p>
        </w:tc>
        <w:tc>
          <w:tcPr>
            <w:tcW w:type="dxa" w:w="260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Finding</w:t>
            </w:r>
          </w:p>
        </w:tc>
        <w:tc>
          <w:tcPr>
            <w:tcW w:type="dxa" w:w="280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Root Cause</w:t>
            </w:r>
          </w:p>
        </w:tc>
        <w:tc>
          <w:tcPr>
            <w:tcW w:type="dxa" w:w="328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Corrective Action / Learning Cascaded</w:t>
            </w:r>
          </w:p>
        </w:tc>
      </w:tr>
      <w:t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Q3 2025</w:t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Two near-miss reports: housekeeping in sludge staging areas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Inadequate bunding and signage at staging areas</w:t>
            </w:r>
          </w:p>
        </w:tc>
        <w:tc>
          <w:tcPr>
            <w:tcW w:type="dxa" w:w="32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Improved bunding/signage installed; cascaded to all Field Supervisors (Action closed 31 Oct 2025)</w:t>
            </w:r>
          </w:p>
        </w:tc>
      </w:tr>
      <w:t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Q4 2025</w:t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One near-miss: dropped-object incident during equipment staging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Inadequate exclusion-zone barricading</w:t>
            </w:r>
          </w:p>
        </w:tc>
        <w:tc>
          <w:tcPr>
            <w:tcW w:type="dxa" w:w="32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Barricading/exclusion-zone improvement at all equipment staging areas; briefed to all crews (Action closed 31 Jan 2026)</w:t>
            </w:r>
          </w:p>
        </w:tc>
      </w:tr>
      <w:t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Q4 2025</w:t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PPE non-conformance: expired safety-harness inspection tags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Harness inspection interval not tracked centrally</w:t>
            </w:r>
          </w:p>
        </w:tc>
        <w:tc>
          <w:tcPr>
            <w:tcW w:type="dxa" w:w="32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Full harness inventory re-inspected and re-tagged; tracked centrally going forward (Action closed 31 Jan 2026)</w:t>
            </w:r>
          </w:p>
        </w:tc>
      </w:tr>
      <w:t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Q1 2026</w:t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Zero incidents / zero near-misses — first such quarter on record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N/A — positive outcome</w:t>
            </w:r>
          </w:p>
        </w:tc>
        <w:tc>
          <w:tcPr>
            <w:tcW w:type="dxa" w:w="32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Reinforced mandatory near-miss reporting culture; commended to all site teams at Quarterly Review</w:t>
            </w:r>
          </w:p>
        </w:tc>
      </w:tr>
      <w:t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Q2 2026</w:t>
            </w:r>
          </w:p>
        </w:tc>
        <w:tc>
          <w:tcPr>
            <w:tcW w:type="dxa" w:w="2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One near-miss: minor slip hazard during pre-mobilization site walk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Wet surface, not immediately flagged</w:t>
            </w:r>
          </w:p>
        </w:tc>
        <w:tc>
          <w:tcPr>
            <w:tcW w:type="dxa" w:w="32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Immediate housekeeping correction; reinforced pre-walk hazard-spotting in RAEC mobilization toolbox talks</w:t>
            </w:r>
          </w:p>
        </w:tc>
      </w:tr>
    </w:tbl>
    <w:p>
      <w:pPr>
        <w:spacing w:after="110"/>
      </w:pPr>
      <w:r>
        <w:rPr>
          <w:i/>
          <w:iCs/>
          <w:color w:val="808080"/>
          <w:sz w:val="16"/>
          <w:szCs w:val="16"/>
        </w:rPr>
        <w:t xml:space="preserve">Source: SWDA-HSE-MOM-2025-Q3 through SWDA-HSE-MOM-2026-Q2, HSE-MS Quarterly Review Meeting Minutes.</w:t>
      </w:r>
    </w:p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3.0  After Action Review (AAR) — Agbami FPSO Tank Cleaning (4th Campaign)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480"/>
      </w:tblGrid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Project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Agbami FPSO Tank Cleaning (4th Campaign) — SWDA-HSE-FPS-TCO-012, Client: Chevron Nigeria Limited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Period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2024/2025 Campaign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What was planned?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Full-scope tank cleaning, sludge removal and waste management across the scheduled cargo tanks, targeting zero LTIs and full environmental compliance.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What actually happened?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15,216–16,475 Man-Hours Worked; zero work-related Lost Time Injury; one Health-related (non-occupational) incident, unrelated to operational or procedural failure; full task completion.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Why did it happen? (root cause of the one deviation)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The single Health-related incident was assessed as personal/non-occupational in nature and not attributable to a gap in SWDA's controls or procedures.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What will SWDA do differently next time?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Continue pre-mobilization medical fitness screening; maintain the CSE rotation and rest-break discipline that supported the zero-LTI outcome; carry the same core team (Miracle Maduforo, Maxwell Wonuigwe, Joseph Krobiri, Moses Ehinor) forward given their demonstrated campaign performance.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Facilitated by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Maxwell Wonuigwe (On-Site HSE Officer), reviewed with Joseph Krobiri (Lead Field Supervisor)</w:t>
            </w:r>
          </w:p>
        </w:tc>
      </w:tr>
    </w:tbl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4.0  After Action Review (AAR) — Utorogu (NEPL, Acid Stimulation &amp; Coiled Tubing, 2024)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480"/>
      </w:tblGrid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Project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Acid Stimulation &amp; Coiled Tubing Operations — SWDA-HSE-AST-CTO-014, Client: NNPC E&amp;P Limited (NEPL)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Period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2024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What was planned?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Complete technical scope for acid stimulation and coiled tubing intervention at Utorogu, Delta State, with zero LTIs.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What actually happened?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15,216 Man-Hours Worked; zero LTIs; strong equipment reliability and uninterrupted operations; complete technical objectives achieved.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What will SWDA do differently next time?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No corrective actions required from this campaign; reinforced as a benchmark for equipment reliability planning on future well-intervention-adjacent work.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Facilitated by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Engr. Rori Wekpe, P.E. (Engineering Manager), reviewed with Miracle Maduforo (Project Manager)</w:t>
            </w:r>
          </w:p>
        </w:tc>
      </w:tr>
    </w:tbl>
    <w:p>
      <w:pPr>
        <w:spacing w:after="110"/>
      </w:pPr>
      <w:r>
        <w:rPr>
          <w:i/>
          <w:iCs/>
          <w:sz w:val="20"/>
          <w:szCs w:val="20"/>
        </w:rPr>
        <w:t xml:space="preserve">Note on Century: SWDA's records confirm a management site visit and pre-mobilization inspection were carried out at the Century project site (referenced in HSE-MS Quarterly Review minutes), but a completed AAR record specific to Century was not located in the documents reviewed for this pack. This is flagged back to the internal team for completion rather than reconstructed here.</w:t>
      </w:r>
    </w:p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5.0  MD Endorsement</w:t>
      </w:r>
    </w:p>
    <w:p>
      <w:pPr>
        <w:spacing w:after="110"/>
      </w:pPr>
      <w:r>
        <w:rPr>
          <w:sz w:val="20"/>
          <w:szCs w:val="20"/>
        </w:rPr>
        <w:t xml:space="preserve">I, Gliffeth Wonuigwe, Group CEO / Managing Director of South West Design Africa Limited (SWDA), endorse the LFI Cascade Procedure, Lessons-Learned Register, and After Action Reviews set out above as an accurate account of SWDA's continuous-improvement practice.</w:t>
      </w:r>
    </w:p>
    <w:p>
      <w:pPr>
        <w:spacing w:after="60" w:before="300"/>
      </w:pPr>
      <w:r>
        <w:rPr>
          <w:sz w:val="20"/>
          <w:szCs w:val="20"/>
        </w:rPr>
        <w:t xml:space="preserve">SIGNED: ______________________________</w:t>
      </w:r>
    </w:p>
    <w:p>
      <w:pPr>
        <w:spacing w:after="40"/>
      </w:pPr>
      <w:r>
        <w:rPr>
          <w:b/>
          <w:bCs/>
          <w:sz w:val="20"/>
          <w:szCs w:val="20"/>
        </w:rPr>
        <w:t xml:space="preserve">Gliffeth Wonuigwe — Group CEO / Managing Director, SWDA Limited</w:t>
      </w:r>
    </w:p>
    <w:p>
      <w:r>
        <w:rPr>
          <w:sz w:val="20"/>
          <w:szCs w:val="20"/>
        </w:rPr>
        <w:t xml:space="preserve">Date: 06 August 2026</w:t>
      </w:r>
    </w:p>
    <w:sectPr>
      <w:headerReference w:type="default" r:id="rId7"/>
      <w:footerReference w:type="default" r:id="rId8"/>
      <w:pgSz w:w="12240" w:h="15840" w:orient="portrait"/>
      <w:pgMar w:top="13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29503" w:sz="6" w:space="4"/>
      </w:pBdr>
      <w:jc w:val="center"/>
    </w:pPr>
    <w:r>
      <w:rPr>
        <w:color w:val="808080"/>
        <w:sz w:val="16"/>
        <w:szCs w:val="16"/>
      </w:rPr>
      <w:t xml:space="preserve">SWDA – RAEC 18-Tank ATC/NME Project — Capability Assessment Evidence Pack — Item 5.1(f) (also 9.1(c)-1, 9.1(c)-2, 9.1(d)) — Page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hd w:fill="000000" w:color="auto" w:val="clear"/>
      <w:tabs>
        <w:tab w:val="right" w:pos="10500"/>
      </w:tabs>
    </w:pPr>
    <w:r>
      <w:rPr>
        <w:b/>
        <w:bCs/>
        <w:color w:val="FDE905"/>
        <w:sz w:val="20"/>
        <w:szCs w:val="20"/>
      </w:rPr>
      <w:t xml:space="preserve">SWDA Limited</w:t>
    </w:r>
    <w:r>
      <w:t xml:space="preserve">	</w:t>
    </w:r>
    <w:r>
      <w:rPr>
        <w:b/>
        <w:bCs/>
        <w:i/>
        <w:iCs/>
        <w:color w:val="FFFFFF"/>
        <w:sz w:val="16"/>
        <w:szCs w:val="16"/>
      </w:rPr>
      <w:t xml:space="preserve">ENDORSED: Gliffeth Wonuigwe — Group CEO / Managing Director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85dccecf9789d10fd6374d70d75c65ae45c2ca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2026-08-06T10:15:25.103Z</dcterms:created>
  <dcterms:modified xsi:type="dcterms:W3CDTF">2026-08-06T10:15:25.104Z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