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40"/>
        <w:jc w:val="center"/>
      </w:pPr>
      <w:r>
        <w:drawing>
          <wp:inline distT="0" distB="0" distL="0" distR="0">
            <wp:extent cx="2095500" cy="666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095500" cy="666750"/>
                    </a:xfrm>
                    <a:prstGeom prst="rect">
                      <a:avLst/>
                    </a:prstGeom>
                  </pic:spPr>
                </pic:pic>
              </a:graphicData>
            </a:graphic>
          </wp:inline>
        </w:drawing>
      </w:r>
    </w:p>
    <w:p>
      <w:pPr>
        <w:spacing w:after="40"/>
        <w:jc w:val="center"/>
      </w:pPr>
      <w:r>
        <w:rPr>
          <w:b/>
          <w:bCs/>
          <w:color w:val="000000"/>
          <w:sz w:val="30"/>
          <w:szCs w:val="30"/>
        </w:rPr>
        <w:t xml:space="preserve">SOUTH WEST DESIGN AFRICA LIMITED (SWDA)</w:t>
      </w:r>
    </w:p>
    <w:p>
      <w:pPr>
        <w:spacing w:after="40"/>
        <w:jc w:val="center"/>
      </w:pPr>
      <w:r>
        <w:rPr>
          <w:i/>
          <w:iCs/>
          <w:sz w:val="20"/>
          <w:szCs w:val="20"/>
        </w:rPr>
        <w:t xml:space="preserve">RAEC 18-TANK ATC/NME TANK CLEANING PROJECT — Contract/Tender No. CW-68582 / CW-515913</w:t>
      </w:r>
    </w:p>
    <w:p>
      <w:pPr>
        <w:spacing w:after="40"/>
        <w:jc w:val="center"/>
      </w:pPr>
      <w:r>
        <w:rPr>
          <w:b/>
          <w:bCs/>
          <w:color w:val="A29503"/>
          <w:sz w:val="26"/>
          <w:szCs w:val="26"/>
        </w:rPr>
        <w:t xml:space="preserve">PTW, SIMOP &amp; MOPO — INTERFACE MANAGEMENT &amp; BRIDGING DOCUMENT</w:t>
      </w:r>
    </w:p>
    <w:p>
      <w:pPr>
        <w:spacing w:after="200"/>
        <w:jc w:val="center"/>
      </w:pPr>
      <w:r>
        <w:rPr>
          <w:i/>
          <w:iCs/>
          <w:sz w:val="20"/>
          <w:szCs w:val="20"/>
        </w:rPr>
        <w:t xml:space="preserve">SWDA Approach to Simultaneous Operations &amp; Management of Operations Overlap</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600"/>
        <w:gridCol w:w="7480"/>
      </w:tblGrid>
      <w:tr>
        <w:tc>
          <w:tcPr>
            <w:tcW w:type="dxa" w:w="2600"/>
            <w:shd w:fill="F2F2F2" w:color="auto" w:val="clear"/>
            <w:tcMar>
              <w:top w:type="dxa" w:w="60"/>
              <w:left w:type="dxa" w:w="80"/>
              <w:bottom w:type="dxa" w:w="60"/>
              <w:right w:type="dxa" w:w="80"/>
            </w:tcMar>
            <w:vAlign w:val="center"/>
          </w:tcPr>
          <w:p>
            <w:pPr>
              <w:jc w:val="left"/>
            </w:pPr>
            <w:r>
              <w:rPr>
                <w:b/>
                <w:bCs/>
                <w:color w:val="000000"/>
                <w:sz w:val="18"/>
                <w:szCs w:val="18"/>
              </w:rPr>
              <w:t xml:space="preserve">RAEC Capability Assessment Reference</w:t>
            </w:r>
          </w:p>
        </w:tc>
        <w:tc>
          <w:tcPr>
            <w:tcW w:type="dxa" w:w="7480"/>
            <w:tcMar>
              <w:top w:type="dxa" w:w="60"/>
              <w:left w:type="dxa" w:w="80"/>
              <w:bottom w:type="dxa" w:w="60"/>
              <w:right w:type="dxa" w:w="80"/>
            </w:tcMar>
            <w:vAlign w:val="center"/>
          </w:tcPr>
          <w:p>
            <w:pPr>
              <w:jc w:val="left"/>
            </w:pPr>
            <w:r>
              <w:rPr>
                <w:b w:val="false"/>
                <w:bCs w:val="false"/>
                <w:color w:val="000000"/>
                <w:sz w:val="18"/>
                <w:szCs w:val="18"/>
              </w:rPr>
              <w:t xml:space="preserve">Item 5.1(b)-2 / 5.1(b)-3 — "How are conflicting interests dealt with, within your risk management process?"</w:t>
            </w:r>
          </w:p>
        </w:tc>
      </w:tr>
      <w:tr>
        <w:tc>
          <w:tcPr>
            <w:tcW w:type="dxa" w:w="2600"/>
            <w:shd w:fill="F2F2F2" w:color="auto" w:val="clear"/>
            <w:tcMar>
              <w:top w:type="dxa" w:w="60"/>
              <w:left w:type="dxa" w:w="80"/>
              <w:bottom w:type="dxa" w:w="60"/>
              <w:right w:type="dxa" w:w="80"/>
            </w:tcMar>
            <w:vAlign w:val="center"/>
          </w:tcPr>
          <w:p>
            <w:pPr>
              <w:jc w:val="left"/>
            </w:pPr>
            <w:r>
              <w:rPr>
                <w:b/>
                <w:bCs/>
                <w:color w:val="000000"/>
                <w:sz w:val="18"/>
                <w:szCs w:val="18"/>
              </w:rPr>
              <w:t xml:space="preserve">Requested Evidence</w:t>
            </w:r>
          </w:p>
        </w:tc>
        <w:tc>
          <w:tcPr>
            <w:tcW w:type="dxa" w:w="7480"/>
            <w:tcMar>
              <w:top w:type="dxa" w:w="60"/>
              <w:left w:type="dxa" w:w="80"/>
              <w:bottom w:type="dxa" w:w="60"/>
              <w:right w:type="dxa" w:w="80"/>
            </w:tcMar>
            <w:vAlign w:val="center"/>
          </w:tcPr>
          <w:p>
            <w:pPr>
              <w:jc w:val="left"/>
            </w:pPr>
            <w:r>
              <w:rPr>
                <w:b w:val="false"/>
                <w:bCs w:val="false"/>
                <w:color w:val="000000"/>
                <w:sz w:val="18"/>
                <w:szCs w:val="18"/>
              </w:rPr>
              <w:t xml:space="preserve">Any Help here with PTW, SIMOP &amp; MOPO, and with any Bridging Docs from the Past, endorsed by MD</w:t>
            </w:r>
          </w:p>
        </w:tc>
      </w:tr>
      <w:tr>
        <w:tc>
          <w:tcPr>
            <w:tcW w:type="dxa" w:w="2600"/>
            <w:shd w:fill="F2F2F2" w:color="auto" w:val="clear"/>
            <w:tcMar>
              <w:top w:type="dxa" w:w="60"/>
              <w:left w:type="dxa" w:w="80"/>
              <w:bottom w:type="dxa" w:w="60"/>
              <w:right w:type="dxa" w:w="80"/>
            </w:tcMar>
            <w:vAlign w:val="center"/>
          </w:tcPr>
          <w:p>
            <w:pPr>
              <w:jc w:val="left"/>
            </w:pPr>
            <w:r>
              <w:rPr>
                <w:b/>
                <w:bCs/>
                <w:color w:val="000000"/>
                <w:sz w:val="18"/>
                <w:szCs w:val="18"/>
              </w:rPr>
              <w:t xml:space="preserve">Assigned To</w:t>
            </w:r>
          </w:p>
        </w:tc>
        <w:tc>
          <w:tcPr>
            <w:tcW w:type="dxa" w:w="7480"/>
            <w:tcMar>
              <w:top w:type="dxa" w:w="60"/>
              <w:left w:type="dxa" w:w="80"/>
              <w:bottom w:type="dxa" w:w="60"/>
              <w:right w:type="dxa" w:w="80"/>
            </w:tcMar>
            <w:vAlign w:val="center"/>
          </w:tcPr>
          <w:p>
            <w:pPr>
              <w:jc w:val="left"/>
            </w:pPr>
            <w:r>
              <w:rPr>
                <w:b w:val="false"/>
                <w:bCs w:val="false"/>
                <w:color w:val="000000"/>
                <w:sz w:val="18"/>
                <w:szCs w:val="18"/>
              </w:rPr>
              <w:t xml:space="preserve">Miracle Maduforo (Project Manager — Field Supervisor)</w:t>
            </w:r>
          </w:p>
        </w:tc>
      </w:tr>
      <w:tr>
        <w:tc>
          <w:tcPr>
            <w:tcW w:type="dxa" w:w="2600"/>
            <w:shd w:fill="F2F2F2" w:color="auto" w:val="clear"/>
            <w:tcMar>
              <w:top w:type="dxa" w:w="60"/>
              <w:left w:type="dxa" w:w="80"/>
              <w:bottom w:type="dxa" w:w="60"/>
              <w:right w:type="dxa" w:w="80"/>
            </w:tcMar>
            <w:vAlign w:val="center"/>
          </w:tcPr>
          <w:p>
            <w:pPr>
              <w:jc w:val="left"/>
            </w:pPr>
            <w:r>
              <w:rPr>
                <w:b/>
                <w:bCs/>
                <w:color w:val="000000"/>
                <w:sz w:val="18"/>
                <w:szCs w:val="18"/>
              </w:rPr>
              <w:t xml:space="preserve">Document Date</w:t>
            </w:r>
          </w:p>
        </w:tc>
        <w:tc>
          <w:tcPr>
            <w:tcW w:type="dxa" w:w="7480"/>
            <w:tcMar>
              <w:top w:type="dxa" w:w="60"/>
              <w:left w:type="dxa" w:w="80"/>
              <w:bottom w:type="dxa" w:w="60"/>
              <w:right w:type="dxa" w:w="80"/>
            </w:tcMar>
            <w:vAlign w:val="center"/>
          </w:tcPr>
          <w:p>
            <w:pPr>
              <w:jc w:val="left"/>
            </w:pPr>
            <w:r>
              <w:rPr>
                <w:b w:val="false"/>
                <w:bCs w:val="false"/>
                <w:color w:val="000000"/>
                <w:sz w:val="18"/>
                <w:szCs w:val="18"/>
              </w:rPr>
              <w:t xml:space="preserve">06 August 2026</w:t>
            </w:r>
          </w:p>
        </w:tc>
      </w:tr>
    </w:tbl>
    <w:p>
      <w:pPr>
        <w:spacing w:after="110"/>
      </w:pPr>
      <w:r>
        <w:rPr>
          <w:sz w:val="20"/>
          <w:szCs w:val="20"/>
        </w:rPr>
        <w:t xml:space="preserve"/>
      </w:r>
    </w:p>
    <w:p>
      <w:pPr>
        <w:spacing w:after="110"/>
      </w:pPr>
      <w:r>
        <w:rPr>
          <w:sz w:val="20"/>
          <w:szCs w:val="20"/>
        </w:rPr>
        <w:t xml:space="preserve">SWDA operates on the RAEC 18-Tank ATC/NME Project, and previously operated on the Agbami FPSO and Utorogu projects, as sole Prime Contractor on-site (no on-site subcontractors — only equipment/consumables supply subs, off-site). Consequently, formal multi-party SIMOP arrangements are limited in scope, but interface risk is still actively managed wherever SWDA's tank-cleaning activities run concurrently with Client (RAEC / Chevron) operations on the same facility. This document sets out SWDA's PTW system, its lightweight SIMOP/MOPO approach for that overlap, and a sample historical Bridging Document.</w:t>
      </w:r>
    </w:p>
    <w:p>
      <w:pPr>
        <w:pStyle w:val="Heading1"/>
        <w:pBdr>
          <w:bottom w:val="single" w:color="000000" w:sz="8" w:space="4"/>
        </w:pBdr>
        <w:spacing w:after="120" w:before="260"/>
      </w:pPr>
      <w:r>
        <w:rPr>
          <w:b/>
          <w:bCs/>
          <w:color w:val="000000"/>
          <w:sz w:val="26"/>
          <w:szCs w:val="26"/>
        </w:rPr>
        <w:t xml:space="preserve">1.0  Permit to Work (PTW) System — Summary</w:t>
      </w:r>
    </w:p>
    <w:p>
      <w:pPr>
        <w:spacing w:after="110"/>
      </w:pPr>
      <w:r>
        <w:rPr>
          <w:sz w:val="20"/>
          <w:szCs w:val="20"/>
        </w:rPr>
        <w:t xml:space="preserve">SWDA's PTW system (HSE Plan Section 3.2, Attachment 1) governs all higher-risk tasks through a tiered permit structure: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600"/>
        <w:gridCol w:w="7480"/>
      </w:tblGrid>
      <w:tr>
        <w:tc>
          <w:tcPr>
            <w:tcW w:type="dxa" w:w="2600"/>
            <w:shd w:fill="000000" w:color="auto" w:val="clear"/>
            <w:tcMar>
              <w:top w:type="dxa" w:w="60"/>
              <w:left w:type="dxa" w:w="80"/>
              <w:bottom w:type="dxa" w:w="60"/>
              <w:right w:type="dxa" w:w="80"/>
            </w:tcMar>
            <w:vAlign w:val="center"/>
          </w:tcPr>
          <w:p>
            <w:pPr>
              <w:jc w:val="left"/>
            </w:pPr>
            <w:r>
              <w:rPr>
                <w:b/>
                <w:bCs/>
                <w:color w:val="FFFFFF"/>
                <w:sz w:val="18"/>
                <w:szCs w:val="18"/>
              </w:rPr>
              <w:t xml:space="preserve">Permit Type</w:t>
            </w:r>
          </w:p>
        </w:tc>
        <w:tc>
          <w:tcPr>
            <w:tcW w:type="dxa" w:w="7480"/>
            <w:shd w:fill="000000" w:color="auto" w:val="clear"/>
            <w:tcMar>
              <w:top w:type="dxa" w:w="60"/>
              <w:left w:type="dxa" w:w="80"/>
              <w:bottom w:type="dxa" w:w="60"/>
              <w:right w:type="dxa" w:w="80"/>
            </w:tcMar>
            <w:vAlign w:val="center"/>
          </w:tcPr>
          <w:p>
            <w:pPr>
              <w:jc w:val="left"/>
            </w:pPr>
            <w:r>
              <w:rPr>
                <w:b/>
                <w:bCs/>
                <w:color w:val="FFFFFF"/>
                <w:sz w:val="18"/>
                <w:szCs w:val="18"/>
              </w:rPr>
              <w:t xml:space="preserve">Application</w:t>
            </w:r>
          </w:p>
        </w:tc>
      </w:tr>
      <w:tr>
        <w:tc>
          <w:tcPr>
            <w:tcW w:type="dxa" w:w="2600"/>
            <w:shd w:fill="F2F2F2" w:color="auto" w:val="clear"/>
            <w:tcMar>
              <w:top w:type="dxa" w:w="60"/>
              <w:left w:type="dxa" w:w="80"/>
              <w:bottom w:type="dxa" w:w="60"/>
              <w:right w:type="dxa" w:w="80"/>
            </w:tcMar>
            <w:vAlign w:val="center"/>
          </w:tcPr>
          <w:p>
            <w:pPr>
              <w:jc w:val="left"/>
            </w:pPr>
            <w:r>
              <w:rPr>
                <w:b w:val="false"/>
                <w:bCs w:val="false"/>
                <w:color w:val="000000"/>
                <w:sz w:val="18"/>
                <w:szCs w:val="18"/>
              </w:rPr>
              <w:t xml:space="preserve">Confined Space Entry (CSE) Permit</w:t>
            </w:r>
          </w:p>
        </w:tc>
        <w:tc>
          <w:tcPr>
            <w:tcW w:type="dxa" w:w="7480"/>
            <w:tcMar>
              <w:top w:type="dxa" w:w="60"/>
              <w:left w:type="dxa" w:w="80"/>
              <w:bottom w:type="dxa" w:w="60"/>
              <w:right w:type="dxa" w:w="80"/>
            </w:tcMar>
            <w:vAlign w:val="center"/>
          </w:tcPr>
          <w:p>
            <w:pPr>
              <w:jc w:val="left"/>
            </w:pPr>
            <w:r>
              <w:rPr>
                <w:b w:val="false"/>
                <w:bCs w:val="false"/>
                <w:color w:val="000000"/>
                <w:sz w:val="18"/>
                <w:szCs w:val="18"/>
              </w:rPr>
              <w:t xml:space="preserve">Tank entry, roof-space entry during nitrogen purge, removal of solids post water-wash</w:t>
            </w:r>
          </w:p>
        </w:tc>
      </w:tr>
      <w:tr>
        <w:tc>
          <w:tcPr>
            <w:tcW w:type="dxa" w:w="2600"/>
            <w:shd w:fill="F2F2F2" w:color="auto" w:val="clear"/>
            <w:tcMar>
              <w:top w:type="dxa" w:w="60"/>
              <w:left w:type="dxa" w:w="80"/>
              <w:bottom w:type="dxa" w:w="60"/>
              <w:right w:type="dxa" w:w="80"/>
            </w:tcMar>
            <w:vAlign w:val="center"/>
          </w:tcPr>
          <w:p>
            <w:pPr>
              <w:jc w:val="left"/>
            </w:pPr>
            <w:r>
              <w:rPr>
                <w:b w:val="false"/>
                <w:bCs w:val="false"/>
                <w:color w:val="000000"/>
                <w:sz w:val="18"/>
                <w:szCs w:val="18"/>
              </w:rPr>
              <w:t xml:space="preserve">Hot Work Permit</w:t>
            </w:r>
          </w:p>
        </w:tc>
        <w:tc>
          <w:tcPr>
            <w:tcW w:type="dxa" w:w="7480"/>
            <w:tcMar>
              <w:top w:type="dxa" w:w="60"/>
              <w:left w:type="dxa" w:w="80"/>
              <w:bottom w:type="dxa" w:w="60"/>
              <w:right w:type="dxa" w:w="80"/>
            </w:tcMar>
            <w:vAlign w:val="center"/>
          </w:tcPr>
          <w:p>
            <w:pPr>
              <w:jc w:val="left"/>
            </w:pPr>
            <w:r>
              <w:rPr>
                <w:b w:val="false"/>
                <w:bCs w:val="false"/>
                <w:color w:val="000000"/>
                <w:sz w:val="18"/>
                <w:szCs w:val="18"/>
              </w:rPr>
              <w:t xml:space="preserve">Any spark/flame-producing work near tanks, lines, or flammable atmospheres</w:t>
            </w:r>
          </w:p>
        </w:tc>
      </w:tr>
      <w:tr>
        <w:tc>
          <w:tcPr>
            <w:tcW w:type="dxa" w:w="2600"/>
            <w:shd w:fill="F2F2F2" w:color="auto" w:val="clear"/>
            <w:tcMar>
              <w:top w:type="dxa" w:w="60"/>
              <w:left w:type="dxa" w:w="80"/>
              <w:bottom w:type="dxa" w:w="60"/>
              <w:right w:type="dxa" w:w="80"/>
            </w:tcMar>
            <w:vAlign w:val="center"/>
          </w:tcPr>
          <w:p>
            <w:pPr>
              <w:jc w:val="left"/>
            </w:pPr>
            <w:r>
              <w:rPr>
                <w:b w:val="false"/>
                <w:bCs w:val="false"/>
                <w:color w:val="000000"/>
                <w:sz w:val="18"/>
                <w:szCs w:val="18"/>
              </w:rPr>
              <w:t xml:space="preserve">Cold Work Permit</w:t>
            </w:r>
          </w:p>
        </w:tc>
        <w:tc>
          <w:tcPr>
            <w:tcW w:type="dxa" w:w="7480"/>
            <w:tcMar>
              <w:top w:type="dxa" w:w="60"/>
              <w:left w:type="dxa" w:w="80"/>
              <w:bottom w:type="dxa" w:w="60"/>
              <w:right w:type="dxa" w:w="80"/>
            </w:tcMar>
            <w:vAlign w:val="center"/>
          </w:tcPr>
          <w:p>
            <w:pPr>
              <w:jc w:val="left"/>
            </w:pPr>
            <w:r>
              <w:rPr>
                <w:b w:val="false"/>
                <w:bCs w:val="false"/>
                <w:color w:val="000000"/>
                <w:sz w:val="18"/>
                <w:szCs w:val="18"/>
              </w:rPr>
              <w:t xml:space="preserve">General mechanical/manual work with no ignition source</w:t>
            </w:r>
          </w:p>
        </w:tc>
      </w:tr>
      <w:tr>
        <w:tc>
          <w:tcPr>
            <w:tcW w:type="dxa" w:w="2600"/>
            <w:shd w:fill="F2F2F2" w:color="auto" w:val="clear"/>
            <w:tcMar>
              <w:top w:type="dxa" w:w="60"/>
              <w:left w:type="dxa" w:w="80"/>
              <w:bottom w:type="dxa" w:w="60"/>
              <w:right w:type="dxa" w:w="80"/>
            </w:tcMar>
            <w:vAlign w:val="center"/>
          </w:tcPr>
          <w:p>
            <w:pPr>
              <w:jc w:val="left"/>
            </w:pPr>
            <w:r>
              <w:rPr>
                <w:b w:val="false"/>
                <w:bCs w:val="false"/>
                <w:color w:val="000000"/>
                <w:sz w:val="18"/>
                <w:szCs w:val="18"/>
              </w:rPr>
              <w:t xml:space="preserve">Electrical Isolation / LOTO Permit</w:t>
            </w:r>
          </w:p>
        </w:tc>
        <w:tc>
          <w:tcPr>
            <w:tcW w:type="dxa" w:w="7480"/>
            <w:tcMar>
              <w:top w:type="dxa" w:w="60"/>
              <w:left w:type="dxa" w:w="80"/>
              <w:bottom w:type="dxa" w:w="60"/>
              <w:right w:type="dxa" w:w="80"/>
            </w:tcMar>
            <w:vAlign w:val="center"/>
          </w:tcPr>
          <w:p>
            <w:pPr>
              <w:jc w:val="left"/>
            </w:pPr>
            <w:r>
              <w:rPr>
                <w:b w:val="false"/>
                <w:bCs w:val="false"/>
                <w:color w:val="000000"/>
                <w:sz w:val="18"/>
                <w:szCs w:val="18"/>
              </w:rPr>
              <w:t xml:space="preserve">Isolation of live services (220V/400V circuits, pumps, ATC modules) prior to work</w:t>
            </w:r>
          </w:p>
        </w:tc>
      </w:tr>
      <w:tr>
        <w:tc>
          <w:tcPr>
            <w:tcW w:type="dxa" w:w="2600"/>
            <w:shd w:fill="F2F2F2" w:color="auto" w:val="clear"/>
            <w:tcMar>
              <w:top w:type="dxa" w:w="60"/>
              <w:left w:type="dxa" w:w="80"/>
              <w:bottom w:type="dxa" w:w="60"/>
              <w:right w:type="dxa" w:w="80"/>
            </w:tcMar>
            <w:vAlign w:val="center"/>
          </w:tcPr>
          <w:p>
            <w:pPr>
              <w:jc w:val="left"/>
            </w:pPr>
            <w:r>
              <w:rPr>
                <w:b w:val="false"/>
                <w:bCs w:val="false"/>
                <w:color w:val="000000"/>
                <w:sz w:val="18"/>
                <w:szCs w:val="18"/>
              </w:rPr>
              <w:t xml:space="preserve">Line-Breaking Permit</w:t>
            </w:r>
          </w:p>
        </w:tc>
        <w:tc>
          <w:tcPr>
            <w:tcW w:type="dxa" w:w="7480"/>
            <w:tcMar>
              <w:top w:type="dxa" w:w="60"/>
              <w:left w:type="dxa" w:w="80"/>
              <w:bottom w:type="dxa" w:w="60"/>
              <w:right w:type="dxa" w:w="80"/>
            </w:tcMar>
            <w:vAlign w:val="center"/>
          </w:tcPr>
          <w:p>
            <w:pPr>
              <w:jc w:val="left"/>
            </w:pPr>
            <w:r>
              <w:rPr>
                <w:b w:val="false"/>
                <w:bCs w:val="false"/>
                <w:color w:val="000000"/>
                <w:sz w:val="18"/>
                <w:szCs w:val="18"/>
              </w:rPr>
              <w:t xml:space="preserve">Opening of pipelines/flanges carrying crude, gas oil or other fluids/gases</w:t>
            </w:r>
          </w:p>
        </w:tc>
      </w:tr>
    </w:tbl>
    <w:p>
      <w:pPr>
        <w:spacing w:after="110"/>
      </w:pPr>
      <w:r>
        <w:rPr>
          <w:sz w:val="20"/>
          <w:szCs w:val="20"/>
        </w:rPr>
        <w:t xml:space="preserve">Every permit requires: a pre-task gas test (O₂ / LEL / H₂S), sign-off by the Lead Field Supervisor, HSE verification by the On-Site HSE Officer, and closure sign-off confirming the work area has been made safe and handed back.</w:t>
      </w:r>
    </w:p>
    <w:p>
      <w:pPr>
        <w:pStyle w:val="Heading1"/>
        <w:pBdr>
          <w:bottom w:val="single" w:color="000000" w:sz="8" w:space="4"/>
        </w:pBdr>
        <w:spacing w:after="120" w:before="260"/>
      </w:pPr>
      <w:r>
        <w:rPr>
          <w:b/>
          <w:bCs/>
          <w:color w:val="000000"/>
          <w:sz w:val="26"/>
          <w:szCs w:val="26"/>
        </w:rPr>
        <w:t xml:space="preserve">2.0  SIMOP (Simultaneous Operations) Approach</w:t>
      </w:r>
    </w:p>
    <w:p>
      <w:pPr>
        <w:spacing w:after="110"/>
      </w:pPr>
      <w:r>
        <w:rPr>
          <w:sz w:val="20"/>
          <w:szCs w:val="20"/>
        </w:rPr>
        <w:t xml:space="preserve">Where SWDA's tank-cleaning work runs at the same time as Client operations on the same facility (e.g., RAEC process operations continuing on adjacent tanks at Bonny Tank Farm, or Chevron marine/FPSO operations during the Agbami campaign), SWDA applies the following SIMOP controls:</w:t>
      </w:r>
    </w:p>
    <w:p>
      <w:pPr>
        <w:pStyle w:val="ListParagraph"/>
        <w:numPr>
          <w:ilvl w:val="0"/>
          <w:numId w:val="2"/>
        </w:numPr>
        <w:spacing w:after="50"/>
      </w:pPr>
      <w:r>
        <w:rPr>
          <w:sz w:val="20"/>
          <w:szCs w:val="20"/>
        </w:rPr>
        <w:t xml:space="preserve">Joint pre-task SIMOP review between SWDA's Lead Field Supervisor and the Client's Site Representative before any concurrent activity is authorized.</w:t>
      </w:r>
    </w:p>
    <w:p>
      <w:pPr>
        <w:pStyle w:val="ListParagraph"/>
        <w:numPr>
          <w:ilvl w:val="0"/>
          <w:numId w:val="2"/>
        </w:numPr>
        <w:spacing w:after="50"/>
      </w:pPr>
      <w:r>
        <w:rPr>
          <w:sz w:val="20"/>
          <w:szCs w:val="20"/>
        </w:rPr>
        <w:t xml:space="preserve">A SIMOP Risk Matrix is completed identifying which activities may run concurrently (e.g., tank cleaning + routine site traffic) versus which must be sequenced (e.g., hot work + line-breaking on an adjacent tank).</w:t>
      </w:r>
    </w:p>
    <w:p>
      <w:pPr>
        <w:pStyle w:val="ListParagraph"/>
        <w:numPr>
          <w:ilvl w:val="0"/>
          <w:numId w:val="2"/>
        </w:numPr>
        <w:spacing w:after="50"/>
      </w:pPr>
      <w:r>
        <w:rPr>
          <w:sz w:val="20"/>
          <w:szCs w:val="20"/>
        </w:rPr>
        <w:t xml:space="preserve">Physical segregation (cordons, exclusion zones, signage) and communication protocols (radio channel, daily SIMOP briefing) are established for the duration of the overlap.</w:t>
      </w:r>
    </w:p>
    <w:p>
      <w:pPr>
        <w:pStyle w:val="ListParagraph"/>
        <w:numPr>
          <w:ilvl w:val="0"/>
          <w:numId w:val="2"/>
        </w:numPr>
        <w:spacing w:after="50"/>
      </w:pPr>
      <w:r>
        <w:rPr>
          <w:sz w:val="20"/>
          <w:szCs w:val="20"/>
        </w:rPr>
        <w:t xml:space="preserve">Any SIMOP conflict identified is escalated to the Site Supervisor/Site Manager for resolution before work proceeds; conflicting tasks are not run in parallel.</w:t>
      </w:r>
    </w:p>
    <w:p>
      <w:pPr>
        <w:spacing w:after="90" w:before="180"/>
      </w:pPr>
      <w:r>
        <w:rPr>
          <w:b/>
          <w:bCs/>
          <w:color w:val="A29503"/>
          <w:sz w:val="22"/>
          <w:szCs w:val="22"/>
        </w:rPr>
        <w:t xml:space="preserve">Worked example — Agbami FPSO 4th Campaign</w:t>
      </w:r>
    </w:p>
    <w:p>
      <w:pPr>
        <w:spacing w:after="110"/>
      </w:pPr>
      <w:r>
        <w:rPr>
          <w:sz w:val="20"/>
          <w:szCs w:val="20"/>
        </w:rPr>
        <w:t xml:space="preserve">During the Agbami FPSO campaign, SWDA's tank-entry activity (Cargo Tank 4) ran concurrently with Chevron's routine FPSO marine operations. The SIMOP review (led by Joseph Krobiri, Lead Field Supervisor, with the Chevron Site Representative) confirmed no simultaneous hot work or line-breaking was scheduled on adjacent systems during the CSE window, and a dedicated radio channel was maintained between the SWDA CSE Attendant (Moses Ehinor) and the FPSO Control Room for the duration of entry.</w:t>
      </w:r>
    </w:p>
    <w:p>
      <w:pPr>
        <w:pStyle w:val="Heading1"/>
        <w:pBdr>
          <w:bottom w:val="single" w:color="000000" w:sz="8" w:space="4"/>
        </w:pBdr>
        <w:spacing w:after="120" w:before="260"/>
      </w:pPr>
      <w:r>
        <w:rPr>
          <w:b/>
          <w:bCs/>
          <w:color w:val="000000"/>
          <w:sz w:val="26"/>
          <w:szCs w:val="26"/>
        </w:rPr>
        <w:t xml:space="preserve">3.0  MOPO (Management of Operations) — Overlap Control</w:t>
      </w:r>
    </w:p>
    <w:p>
      <w:pPr>
        <w:spacing w:after="110"/>
      </w:pPr>
      <w:r>
        <w:rPr>
          <w:sz w:val="20"/>
          <w:szCs w:val="20"/>
        </w:rPr>
        <w:t xml:space="preserve">Alongside SIMOP, SWDA applies a Management of Operations (MOPO) control to track which party — SWDA or the Client — holds operational authority over a given system, equipment item, or work area at any point in time, particularly during isolations and hand-backs:</w:t>
      </w:r>
    </w:p>
    <w:p>
      <w:pPr>
        <w:pStyle w:val="ListParagraph"/>
        <w:numPr>
          <w:ilvl w:val="0"/>
          <w:numId w:val="2"/>
        </w:numPr>
        <w:spacing w:after="50"/>
      </w:pPr>
      <w:r>
        <w:rPr>
          <w:sz w:val="20"/>
          <w:szCs w:val="20"/>
        </w:rPr>
        <w:t xml:space="preserve">A single MOPO Log is maintained per site/shift, recording: system/area, current custodian (SWDA or Client), isolation status, and time of any hand-over.</w:t>
      </w:r>
    </w:p>
    <w:p>
      <w:pPr>
        <w:pStyle w:val="ListParagraph"/>
        <w:numPr>
          <w:ilvl w:val="0"/>
          <w:numId w:val="2"/>
        </w:numPr>
        <w:spacing w:after="50"/>
      </w:pPr>
      <w:r>
        <w:rPr>
          <w:sz w:val="20"/>
          <w:szCs w:val="20"/>
        </w:rPr>
        <w:t xml:space="preserve">No work commences on a system until the MOPO Log confirms SWDA holds custody and the relevant isolations (LOTO) are verified in place.</w:t>
      </w:r>
    </w:p>
    <w:p>
      <w:pPr>
        <w:pStyle w:val="ListParagraph"/>
        <w:numPr>
          <w:ilvl w:val="0"/>
          <w:numId w:val="2"/>
        </w:numPr>
        <w:spacing w:after="50"/>
      </w:pPr>
      <w:r>
        <w:rPr>
          <w:sz w:val="20"/>
          <w:szCs w:val="20"/>
        </w:rPr>
        <w:t xml:space="preserve">On task completion, custody is formally handed back to the Client via the MOPO Log and countersigned by both the SWDA Lead Field Supervisor and the Client Representative.</w:t>
      </w:r>
    </w:p>
    <w:p>
      <w:pPr>
        <w:pStyle w:val="Heading1"/>
        <w:pBdr>
          <w:bottom w:val="single" w:color="000000" w:sz="8" w:space="4"/>
        </w:pBdr>
        <w:spacing w:after="120" w:before="260"/>
      </w:pPr>
      <w:r>
        <w:rPr>
          <w:b/>
          <w:bCs/>
          <w:color w:val="000000"/>
          <w:sz w:val="26"/>
          <w:szCs w:val="26"/>
        </w:rPr>
        <w:t xml:space="preserve">4.0  Sample Bridging Document — SWDA / Chevron Nigeria Limited (Agbami FPSO, 4th Campaign)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600"/>
        <w:gridCol w:w="7480"/>
      </w:tblGrid>
      <w:tr>
        <w:tc>
          <w:tcPr>
            <w:tcW w:type="dxa" w:w="2600"/>
            <w:shd w:fill="F2F2F2" w:color="auto" w:val="clear"/>
            <w:tcMar>
              <w:top w:type="dxa" w:w="60"/>
              <w:left w:type="dxa" w:w="80"/>
              <w:bottom w:type="dxa" w:w="60"/>
              <w:right w:type="dxa" w:w="80"/>
            </w:tcMar>
            <w:vAlign w:val="center"/>
          </w:tcPr>
          <w:p>
            <w:pPr>
              <w:jc w:val="left"/>
            </w:pPr>
            <w:r>
              <w:rPr>
                <w:b/>
                <w:bCs/>
                <w:color w:val="000000"/>
                <w:sz w:val="18"/>
                <w:szCs w:val="18"/>
              </w:rPr>
              <w:t xml:space="preserve">Purpose</w:t>
            </w:r>
          </w:p>
        </w:tc>
        <w:tc>
          <w:tcPr>
            <w:tcW w:type="dxa" w:w="7480"/>
            <w:tcMar>
              <w:top w:type="dxa" w:w="60"/>
              <w:left w:type="dxa" w:w="80"/>
              <w:bottom w:type="dxa" w:w="60"/>
              <w:right w:type="dxa" w:w="80"/>
            </w:tcMar>
            <w:vAlign w:val="center"/>
          </w:tcPr>
          <w:p>
            <w:pPr>
              <w:jc w:val="left"/>
            </w:pPr>
            <w:r>
              <w:rPr>
                <w:b w:val="false"/>
                <w:bCs w:val="false"/>
                <w:color w:val="000000"/>
                <w:sz w:val="18"/>
                <w:szCs w:val="18"/>
              </w:rPr>
              <w:t xml:space="preserve">To bridge SWDA's HSE-MS with Chevron Nigeria Limited's site HSE-MS for the duration of the Agbami FPSO Tank Cleaning (4th Campaign), Doc. No. SWDA-HSE-FPS-TCO-012</w:t>
            </w:r>
          </w:p>
        </w:tc>
      </w:tr>
      <w:tr>
        <w:tc>
          <w:tcPr>
            <w:tcW w:type="dxa" w:w="2600"/>
            <w:shd w:fill="F2F2F2" w:color="auto" w:val="clear"/>
            <w:tcMar>
              <w:top w:type="dxa" w:w="60"/>
              <w:left w:type="dxa" w:w="80"/>
              <w:bottom w:type="dxa" w:w="60"/>
              <w:right w:type="dxa" w:w="80"/>
            </w:tcMar>
            <w:vAlign w:val="center"/>
          </w:tcPr>
          <w:p>
            <w:pPr>
              <w:jc w:val="left"/>
            </w:pPr>
            <w:r>
              <w:rPr>
                <w:b/>
                <w:bCs/>
                <w:color w:val="000000"/>
                <w:sz w:val="18"/>
                <w:szCs w:val="18"/>
              </w:rPr>
              <w:t xml:space="preserve">Parties</w:t>
            </w:r>
          </w:p>
        </w:tc>
        <w:tc>
          <w:tcPr>
            <w:tcW w:type="dxa" w:w="7480"/>
            <w:tcMar>
              <w:top w:type="dxa" w:w="60"/>
              <w:left w:type="dxa" w:w="80"/>
              <w:bottom w:type="dxa" w:w="60"/>
              <w:right w:type="dxa" w:w="80"/>
            </w:tcMar>
            <w:vAlign w:val="center"/>
          </w:tcPr>
          <w:p>
            <w:pPr>
              <w:jc w:val="left"/>
            </w:pPr>
            <w:r>
              <w:rPr>
                <w:b w:val="false"/>
                <w:bCs w:val="false"/>
                <w:color w:val="000000"/>
                <w:sz w:val="18"/>
                <w:szCs w:val="18"/>
              </w:rPr>
              <w:t xml:space="preserve">South West Design Africa Limited (SWDA) — Contractor; Chevron Nigeria Limited — Client / Facility Operator</w:t>
            </w:r>
          </w:p>
        </w:tc>
      </w:tr>
      <w:tr>
        <w:tc>
          <w:tcPr>
            <w:tcW w:type="dxa" w:w="2600"/>
            <w:shd w:fill="F2F2F2" w:color="auto" w:val="clear"/>
            <w:tcMar>
              <w:top w:type="dxa" w:w="60"/>
              <w:left w:type="dxa" w:w="80"/>
              <w:bottom w:type="dxa" w:w="60"/>
              <w:right w:type="dxa" w:w="80"/>
            </w:tcMar>
            <w:vAlign w:val="center"/>
          </w:tcPr>
          <w:p>
            <w:pPr>
              <w:jc w:val="left"/>
            </w:pPr>
            <w:r>
              <w:rPr>
                <w:b/>
                <w:bCs/>
                <w:color w:val="000000"/>
                <w:sz w:val="18"/>
                <w:szCs w:val="18"/>
              </w:rPr>
              <w:t xml:space="preserve">Scope</w:t>
            </w:r>
          </w:p>
        </w:tc>
        <w:tc>
          <w:tcPr>
            <w:tcW w:type="dxa" w:w="7480"/>
            <w:tcMar>
              <w:top w:type="dxa" w:w="60"/>
              <w:left w:type="dxa" w:w="80"/>
              <w:bottom w:type="dxa" w:w="60"/>
              <w:right w:type="dxa" w:w="80"/>
            </w:tcMar>
            <w:vAlign w:val="center"/>
          </w:tcPr>
          <w:p>
            <w:pPr>
              <w:jc w:val="left"/>
            </w:pPr>
            <w:r>
              <w:rPr>
                <w:b w:val="false"/>
                <w:bCs w:val="false"/>
                <w:color w:val="000000"/>
                <w:sz w:val="18"/>
                <w:szCs w:val="18"/>
              </w:rPr>
              <w:t xml:space="preserve">Interface between SWDA tank-cleaning operations (Cargo Tank 4) and Chevron's ongoing FPSO marine/process operations</w:t>
            </w:r>
          </w:p>
        </w:tc>
      </w:tr>
      <w:tr>
        <w:tc>
          <w:tcPr>
            <w:tcW w:type="dxa" w:w="2600"/>
            <w:shd w:fill="F2F2F2" w:color="auto" w:val="clear"/>
            <w:tcMar>
              <w:top w:type="dxa" w:w="60"/>
              <w:left w:type="dxa" w:w="80"/>
              <w:bottom w:type="dxa" w:w="60"/>
              <w:right w:type="dxa" w:w="80"/>
            </w:tcMar>
            <w:vAlign w:val="center"/>
          </w:tcPr>
          <w:p>
            <w:pPr>
              <w:jc w:val="left"/>
            </w:pPr>
            <w:r>
              <w:rPr>
                <w:b/>
                <w:bCs/>
                <w:color w:val="000000"/>
                <w:sz w:val="18"/>
                <w:szCs w:val="18"/>
              </w:rPr>
              <w:t xml:space="preserve">PTW Interface</w:t>
            </w:r>
          </w:p>
        </w:tc>
        <w:tc>
          <w:tcPr>
            <w:tcW w:type="dxa" w:w="7480"/>
            <w:tcMar>
              <w:top w:type="dxa" w:w="60"/>
              <w:left w:type="dxa" w:w="80"/>
              <w:bottom w:type="dxa" w:w="60"/>
              <w:right w:type="dxa" w:w="80"/>
            </w:tcMar>
            <w:vAlign w:val="center"/>
          </w:tcPr>
          <w:p>
            <w:pPr>
              <w:jc w:val="left"/>
            </w:pPr>
            <w:r>
              <w:rPr>
                <w:b w:val="false"/>
                <w:bCs w:val="false"/>
                <w:color w:val="000000"/>
                <w:sz w:val="18"/>
                <w:szCs w:val="18"/>
              </w:rPr>
              <w:t xml:space="preserve">SWDA permits are issued under SWDA's PTW system but co-signed by the Chevron Site Representative for any task affecting Chevron-owned isolations or shared systems</w:t>
            </w:r>
          </w:p>
        </w:tc>
      </w:tr>
      <w:tr>
        <w:tc>
          <w:tcPr>
            <w:tcW w:type="dxa" w:w="2600"/>
            <w:shd w:fill="F2F2F2" w:color="auto" w:val="clear"/>
            <w:tcMar>
              <w:top w:type="dxa" w:w="60"/>
              <w:left w:type="dxa" w:w="80"/>
              <w:bottom w:type="dxa" w:w="60"/>
              <w:right w:type="dxa" w:w="80"/>
            </w:tcMar>
            <w:vAlign w:val="center"/>
          </w:tcPr>
          <w:p>
            <w:pPr>
              <w:jc w:val="left"/>
            </w:pPr>
            <w:r>
              <w:rPr>
                <w:b/>
                <w:bCs/>
                <w:color w:val="000000"/>
                <w:sz w:val="18"/>
                <w:szCs w:val="18"/>
              </w:rPr>
              <w:t xml:space="preserve">Emergency Response Interface</w:t>
            </w:r>
          </w:p>
        </w:tc>
        <w:tc>
          <w:tcPr>
            <w:tcW w:type="dxa" w:w="7480"/>
            <w:tcMar>
              <w:top w:type="dxa" w:w="60"/>
              <w:left w:type="dxa" w:w="80"/>
              <w:bottom w:type="dxa" w:w="60"/>
              <w:right w:type="dxa" w:w="80"/>
            </w:tcMar>
            <w:vAlign w:val="center"/>
          </w:tcPr>
          <w:p>
            <w:pPr>
              <w:jc w:val="left"/>
            </w:pPr>
            <w:r>
              <w:rPr>
                <w:b w:val="false"/>
                <w:bCs w:val="false"/>
                <w:color w:val="000000"/>
                <w:sz w:val="18"/>
                <w:szCs w:val="18"/>
              </w:rPr>
              <w:t xml:space="preserve">SWDA's Emergency Response Procedure (ERP) escalates to the Chevron Control Room and FPSO muster arrangements in the event of an incident; SWDA's On-Site HSE Officer maintains a direct radio line to the FPSO Control Room throughout entry operations</w:t>
            </w:r>
          </w:p>
        </w:tc>
      </w:tr>
      <w:tr>
        <w:tc>
          <w:tcPr>
            <w:tcW w:type="dxa" w:w="2600"/>
            <w:shd w:fill="F2F2F2" w:color="auto" w:val="clear"/>
            <w:tcMar>
              <w:top w:type="dxa" w:w="60"/>
              <w:left w:type="dxa" w:w="80"/>
              <w:bottom w:type="dxa" w:w="60"/>
              <w:right w:type="dxa" w:w="80"/>
            </w:tcMar>
            <w:vAlign w:val="center"/>
          </w:tcPr>
          <w:p>
            <w:pPr>
              <w:jc w:val="left"/>
            </w:pPr>
            <w:r>
              <w:rPr>
                <w:b/>
                <w:bCs/>
                <w:color w:val="000000"/>
                <w:sz w:val="18"/>
                <w:szCs w:val="18"/>
              </w:rPr>
              <w:t xml:space="preserve">Competency Recognition</w:t>
            </w:r>
          </w:p>
        </w:tc>
        <w:tc>
          <w:tcPr>
            <w:tcW w:type="dxa" w:w="7480"/>
            <w:tcMar>
              <w:top w:type="dxa" w:w="60"/>
              <w:left w:type="dxa" w:w="80"/>
              <w:bottom w:type="dxa" w:w="60"/>
              <w:right w:type="dxa" w:w="80"/>
            </w:tcMar>
            <w:vAlign w:val="center"/>
          </w:tcPr>
          <w:p>
            <w:pPr>
              <w:jc w:val="left"/>
            </w:pPr>
            <w:r>
              <w:rPr>
                <w:b w:val="false"/>
                <w:bCs w:val="false"/>
                <w:color w:val="000000"/>
                <w:sz w:val="18"/>
                <w:szCs w:val="18"/>
              </w:rPr>
              <w:t xml:space="preserve">Chevron accepted SWDA's CSE Attendant and Rescue Access Team certifications (Levels 2 &amp; 3) as meeting FPSO entry-personnel requirements, following joint verification at mobilization</w:t>
            </w:r>
          </w:p>
        </w:tc>
      </w:tr>
      <w:tr>
        <w:tc>
          <w:tcPr>
            <w:tcW w:type="dxa" w:w="2600"/>
            <w:shd w:fill="F2F2F2" w:color="auto" w:val="clear"/>
            <w:tcMar>
              <w:top w:type="dxa" w:w="60"/>
              <w:left w:type="dxa" w:w="80"/>
              <w:bottom w:type="dxa" w:w="60"/>
              <w:right w:type="dxa" w:w="80"/>
            </w:tcMar>
            <w:vAlign w:val="center"/>
          </w:tcPr>
          <w:p>
            <w:pPr>
              <w:jc w:val="left"/>
            </w:pPr>
            <w:r>
              <w:rPr>
                <w:b/>
                <w:bCs/>
                <w:color w:val="000000"/>
                <w:sz w:val="18"/>
                <w:szCs w:val="18"/>
              </w:rPr>
              <w:t xml:space="preserve">Communication Protocol</w:t>
            </w:r>
          </w:p>
        </w:tc>
        <w:tc>
          <w:tcPr>
            <w:tcW w:type="dxa" w:w="7480"/>
            <w:tcMar>
              <w:top w:type="dxa" w:w="60"/>
              <w:left w:type="dxa" w:w="80"/>
              <w:bottom w:type="dxa" w:w="60"/>
              <w:right w:type="dxa" w:w="80"/>
            </w:tcMar>
            <w:vAlign w:val="center"/>
          </w:tcPr>
          <w:p>
            <w:pPr>
              <w:jc w:val="left"/>
            </w:pPr>
            <w:r>
              <w:rPr>
                <w:b w:val="false"/>
                <w:bCs w:val="false"/>
                <w:color w:val="000000"/>
                <w:sz w:val="18"/>
                <w:szCs w:val="18"/>
              </w:rPr>
              <w:t xml:space="preserve">Daily SIMOP/MOPO briefing at 06:00 hrs between SWDA Lead Field Supervisor and Chevron Site Representative; dedicated radio channel for the duration of CSE activity</w:t>
            </w:r>
          </w:p>
        </w:tc>
      </w:tr>
      <w:tr>
        <w:tc>
          <w:tcPr>
            <w:tcW w:type="dxa" w:w="2600"/>
            <w:shd w:fill="F2F2F2" w:color="auto" w:val="clear"/>
            <w:tcMar>
              <w:top w:type="dxa" w:w="60"/>
              <w:left w:type="dxa" w:w="80"/>
              <w:bottom w:type="dxa" w:w="60"/>
              <w:right w:type="dxa" w:w="80"/>
            </w:tcMar>
            <w:vAlign w:val="center"/>
          </w:tcPr>
          <w:p>
            <w:pPr>
              <w:jc w:val="left"/>
            </w:pPr>
            <w:r>
              <w:rPr>
                <w:b/>
                <w:bCs/>
                <w:color w:val="000000"/>
                <w:sz w:val="18"/>
                <w:szCs w:val="18"/>
              </w:rPr>
              <w:t xml:space="preserve">Review</w:t>
            </w:r>
          </w:p>
        </w:tc>
        <w:tc>
          <w:tcPr>
            <w:tcW w:type="dxa" w:w="7480"/>
            <w:tcMar>
              <w:top w:type="dxa" w:w="60"/>
              <w:left w:type="dxa" w:w="80"/>
              <w:bottom w:type="dxa" w:w="60"/>
              <w:right w:type="dxa" w:w="80"/>
            </w:tcMar>
            <w:vAlign w:val="center"/>
          </w:tcPr>
          <w:p>
            <w:pPr>
              <w:jc w:val="left"/>
            </w:pPr>
            <w:r>
              <w:rPr>
                <w:b w:val="false"/>
                <w:bCs w:val="false"/>
                <w:color w:val="000000"/>
                <w:sz w:val="18"/>
                <w:szCs w:val="18"/>
              </w:rPr>
              <w:t xml:space="preserve">Bridging Document reviewed at each campaign mobilization and at any change in scope or personnel</w:t>
            </w:r>
          </w:p>
        </w:tc>
      </w:tr>
    </w:tbl>
    <w:p>
      <w:pPr>
        <w:pStyle w:val="Heading1"/>
        <w:pBdr>
          <w:bottom w:val="single" w:color="000000" w:sz="8" w:space="4"/>
        </w:pBdr>
        <w:spacing w:after="120" w:before="260"/>
      </w:pPr>
      <w:r>
        <w:rPr>
          <w:b/>
          <w:bCs/>
          <w:color w:val="000000"/>
          <w:sz w:val="26"/>
          <w:szCs w:val="26"/>
        </w:rPr>
        <w:t xml:space="preserve">5.0  MD Endorsement</w:t>
      </w:r>
    </w:p>
    <w:p>
      <w:pPr>
        <w:spacing w:after="110"/>
      </w:pPr>
      <w:r>
        <w:rPr>
          <w:sz w:val="20"/>
          <w:szCs w:val="20"/>
        </w:rPr>
        <w:t xml:space="preserve">I, Gliffeth Wonuigwe, Group CEO / Managing Director of South West Design Africa Limited (SWDA), endorse the PTW system summary, SIMOP/MOPO approach, and sample Bridging Document set out above as an accurate representation of SWDA's interface-management practice.</w:t>
      </w:r>
    </w:p>
    <w:p>
      <w:pPr>
        <w:spacing w:after="60" w:before="300"/>
      </w:pPr>
      <w:r>
        <w:rPr>
          <w:sz w:val="20"/>
          <w:szCs w:val="20"/>
        </w:rPr>
        <w:t xml:space="preserve">SIGNED: ______________________________</w:t>
      </w:r>
    </w:p>
    <w:p>
      <w:pPr>
        <w:spacing w:after="40"/>
      </w:pPr>
      <w:r>
        <w:rPr>
          <w:b/>
          <w:bCs/>
          <w:sz w:val="20"/>
          <w:szCs w:val="20"/>
        </w:rPr>
        <w:t xml:space="preserve">Gliffeth Wonuigwe — Group CEO / Managing Director, SWDA Limited</w:t>
      </w:r>
    </w:p>
    <w:p>
      <w:r>
        <w:rPr>
          <w:sz w:val="20"/>
          <w:szCs w:val="20"/>
        </w:rPr>
        <w:t xml:space="preserve">Date: 06 August 2026</w:t>
      </w:r>
    </w:p>
    <w:sectPr>
      <w:headerReference w:type="default" r:id="rId7"/>
      <w:footerReference w:type="default" r:id="rId8"/>
      <w:pgSz w:w="12240" w:h="15840" w:orient="portrait"/>
      <w:pgMar w:top="1300" w:right="1000" w:bottom="10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A29503" w:sz="6" w:space="4"/>
      </w:pBdr>
      <w:jc w:val="center"/>
    </w:pPr>
    <w:r>
      <w:rPr>
        <w:color w:val="808080"/>
        <w:sz w:val="16"/>
        <w:szCs w:val="16"/>
      </w:rPr>
      <w:t xml:space="preserve">SWDA – RAEC 18-Tank ATC/NME Project — Capability Assessment Evidence Pack — Item 5.1(b)-2 / 5.1(b)-3 — Page </w:t>
    </w:r>
    <w:r>
      <w:rPr>
        <w:color w:val="808080"/>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hd w:fill="000000" w:color="auto" w:val="clear"/>
      <w:tabs>
        <w:tab w:val="right" w:pos="10500"/>
      </w:tabs>
    </w:pPr>
    <w:r>
      <w:rPr>
        <w:b/>
        <w:bCs/>
        <w:color w:val="FDE905"/>
        <w:sz w:val="20"/>
        <w:szCs w:val="20"/>
      </w:rPr>
      <w:t xml:space="preserve">SWDA Limited</w:t>
    </w:r>
    <w:r>
      <w:t xml:space="preserve">	</w:t>
    </w:r>
    <w:r>
      <w:rPr>
        <w:b/>
        <w:bCs/>
        <w:i/>
        <w:iCs/>
        <w:color w:val="FFFFFF"/>
        <w:sz w:val="16"/>
        <w:szCs w:val="16"/>
      </w:rPr>
      <w:t xml:space="preserve">ENDORSED: Gliffeth Wonuigwe — Group CEO / Managing Director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985dccecf9789d10fd6374d70d75c65ae45c2ca6.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2026-08-06T10:14:41.066Z</dcterms:created>
  <dcterms:modified xsi:type="dcterms:W3CDTF">2026-08-06T10:14:41.066Z</dcterms:modified>
</cp:coreProperties>
</file>

<file path=docProps/custom.xml><?xml version="1.0" encoding="utf-8"?>
<Properties xmlns="http://schemas.openxmlformats.org/officeDocument/2006/custom-properties" xmlns:vt="http://schemas.openxmlformats.org/officeDocument/2006/docPropsVTypes"/>
</file>