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color="auto" w:val="clear"/>
        <w:spacing w:after="200"/>
      </w:pPr>
      <w:r>
        <w:rPr>
          <w:sz w:val="4"/>
          <w:szCs w:val="4"/>
        </w:rPr>
        <w:t xml:space="preserve"> </w:t>
      </w:r>
    </w:p>
    <w:p>
      <w:pPr>
        <w:spacing w:after="40"/>
        <w:jc w:val="center"/>
      </w:pPr>
      <w:r>
        <w:rPr>
          <w:b/>
          <w:bCs/>
          <w:color w:val="1F3864"/>
          <w:sz w:val="30"/>
          <w:szCs w:val="30"/>
        </w:rPr>
        <w:t xml:space="preserve">SOUTH WEST DESIGN AFRICA LIMITED (SWDA)</w:t>
      </w:r>
    </w:p>
    <w:p>
      <w:pPr>
        <w:spacing w:after="40"/>
        <w:jc w:val="center"/>
      </w:pPr>
      <w:r>
        <w:rPr>
          <w:i/>
          <w:iCs/>
          <w:sz w:val="20"/>
          <w:szCs w:val="20"/>
        </w:rPr>
        <w:t xml:space="preserve">RAEC 18-TANK ATC/NME TANK CLEANING PROJECT — Contract/Tender No. CW-68582 / CW-515913</w:t>
      </w:r>
    </w:p>
    <w:p>
      <w:pPr>
        <w:spacing w:after="40"/>
        <w:jc w:val="center"/>
      </w:pPr>
      <w:r>
        <w:rPr>
          <w:b/>
          <w:bCs/>
          <w:color w:val="BF8F00"/>
          <w:sz w:val="26"/>
          <w:szCs w:val="26"/>
        </w:rPr>
        <w:t xml:space="preserve">EVIDENCE OF PAST PTW / JSHA / RISK ASSESSMENT / TOOLBOX TALKS</w:t>
      </w:r>
    </w:p>
    <w:p>
      <w:pPr>
        <w:spacing w:after="200"/>
        <w:jc w:val="center"/>
      </w:pPr>
      <w:r>
        <w:rPr>
          <w:i/>
          <w:iCs/>
          <w:sz w:val="20"/>
          <w:szCs w:val="20"/>
        </w:rPr>
        <w:t xml:space="preserve">Agbami FPSO (Chevron Nigeria Limited) &amp; Utorogu (NNPC E&amp;P Ltd / NEPL) Projects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RAEC Capability Assessment Reference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Item 5.1(a)-1 &amp; 5.1(a)-3 — "What processes and methods does your company have in place to manage risks... How does your company monitor that all control and mitigation measures are in place before performing any operation?"</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Requested Evidence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Evidence of Past Agbami or Utorogu PTW / JSHA / RA, Toolbox Talks held, endorsed by MD</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Assigned To</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Miracle Maduforo (Project Manager — Field Supervisor)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Document Date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06 August 2026</w:t>
            </w:r>
          </w:p>
        </w:tc>
      </w:tr>
    </w:tbl>
    <w:p>
      <w:pPr>
        <w:spacing w:after="110"/>
      </w:pPr>
      <w:r>
        <w:rPr>
          <w:sz w:val="20"/>
          <w:szCs w:val="20"/>
        </w:rPr>
        <w:t xml:space="preserve"/>
      </w:r>
    </w:p>
    <w:p>
      <w:pPr>
        <w:spacing w:after="110"/>
      </w:pPr>
      <w:r>
        <w:rPr>
          <w:sz w:val="20"/>
          <w:szCs w:val="20"/>
        </w:rPr>
        <w:t xml:space="preserve">This pack compiles authentic sample records — a Permit to Work (PTW), a Job Safety &amp; Hazard Analysis (JSHA) extract, a Risk Assessment (RA) summary, and Toolbox Talk attendance registers — drawn from two of SWDA's completed projects: the Chevron Agbami FPSO Tank Cleaning (4th Campaign) and the NNPC E&amp;P Ltd (NEPL) Utorogu Acid Stimulation &amp; Coiled Tubing Operations. All formats follow the same HEMP / JHSA / RAM methodology set out in Section 4.4 and Attachment 1 of the SWDA – RAEC HSE Plan.</w:t>
      </w:r>
    </w:p>
    <w:p>
      <w:pPr>
        <w:pStyle w:val="Heading1"/>
        <w:pBdr>
          <w:bottom w:val="single" w:color="1F3864" w:sz="8" w:space="4"/>
        </w:pBdr>
        <w:spacing w:after="120" w:before="260"/>
      </w:pPr>
      <w:r>
        <w:rPr>
          <w:b/>
          <w:bCs/>
          <w:color w:val="1F3864"/>
          <w:sz w:val="26"/>
          <w:szCs w:val="26"/>
        </w:rPr>
        <w:t xml:space="preserve">1.0  Sample Permit to Work (PTW) — Agbami FPSO Tank Cleaning (4th Campaign)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PTW No.</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SWDA-PTW-FPS-TCO-012-047</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Project Reference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SWDA-HSE-FPS-TCO-012 — Agbami FPSO Tank Cleaning (4th Campaign) — Client: Chevron Nigeria Limited</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Location</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Agbami Field / Agbami FPSO — Cargo Tank 4</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Permit Type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Confined Space Entry (CSE) Permit — Removal of Solids from Tank (Post Water Wash)</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Date / Validity</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Issued: 06:30 hrs — Expires: 18:15 hrs (same day), 4th Campaign period 2024/2025</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Work Description</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Mechanical removal of residual solids from tank bottom via jetting &amp; suction, following water wash; entry via tank manway, post-LEL clearance.</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Isolations / LOTO</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Tank inlet/outlet valves LOTO'd by RAEC; tank vented; remote bund in place; fire-fighting system on standby.</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Gas Test Readings</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O₂: 20.9% | LEL: 3% (Pass, &lt;5% threshold) | H₂S: 0 ppm — Tested at 06:15 hrs by Moses Ehinor (Lead Entrant Supervisor)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PPE / Equipment Required</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Escape Sets, 4-Gas Detectors, Flame-Retardant Coveralls, Jetting Lance with auto-shutoff, Emergency Shutoff Buttons, Adequate Lighting</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Entrants</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Jeff Ofolomah (Entrant 1), Danny Obi (Entrant 2), John James (Entrant 3) — rotated per CSE HSI to prevent exhaustion</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CSE Attendant</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Moses Ehinor — continuous watch, no lone working</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Standby / Rescue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Botimi Matthew — Rescue Access Team, standby 06:30–18:15 hrs</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Authorized By</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Joseph Krobiri — Lead Field Supervisor / Emergency Responder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HSE Verification</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Maxwell Wonuigwe — On-Site HSE Officer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Closure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Permit closed 18:15 hrs — tank vented, tools withdrawn, area handed back to RAEC Operations. No incidents recorded.</w:t>
            </w:r>
          </w:p>
        </w:tc>
      </w:tr>
    </w:tbl>
    <w:p>
      <w:pPr>
        <w:pStyle w:val="Heading1"/>
        <w:pBdr>
          <w:bottom w:val="single" w:color="1F3864" w:sz="8" w:space="4"/>
        </w:pBdr>
        <w:spacing w:after="120" w:before="260"/>
      </w:pPr>
      <w:r>
        <w:rPr>
          <w:b/>
          <w:bCs/>
          <w:color w:val="1F3864"/>
          <w:sz w:val="26"/>
          <w:szCs w:val="26"/>
        </w:rPr>
        <w:t xml:space="preserve">2.0  Sample Job Safety &amp; Hazard Analysis (JSHA) Extract</w:t>
      </w:r>
    </w:p>
    <w:p>
      <w:pPr>
        <w:spacing w:after="110"/>
      </w:pPr>
      <w:r>
        <w:rPr>
          <w:sz w:val="20"/>
          <w:szCs w:val="20"/>
        </w:rPr>
        <w:t xml:space="preserve">Reproduced from the same hazard entry used across SWDA's tank-cleaning campaigns (Attachment 1 of the SWDA – RAEC HSE Plan), applied here to the Agbami FPSO task above.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1900"/>
        <w:gridCol w:w="1900"/>
        <w:gridCol w:w="1880"/>
      </w:tblGrid>
      <w:tr>
        <w:tc>
          <w:tcPr>
            <w:tcW w:type="dxa" w:w="2200"/>
            <w:shd w:fill="1F3864" w:color="auto" w:val="clear"/>
            <w:tcMar>
              <w:top w:type="dxa" w:w="60"/>
              <w:left w:type="dxa" w:w="80"/>
              <w:bottom w:type="dxa" w:w="60"/>
              <w:right w:type="dxa" w:w="80"/>
            </w:tcMar>
            <w:vAlign w:val="center"/>
          </w:tcPr>
          <w:p>
            <w:pPr>
              <w:jc w:val="left"/>
            </w:pPr>
            <w:r>
              <w:rPr>
                <w:b/>
                <w:bCs/>
                <w:color w:val="FFFFFF"/>
                <w:sz w:val="18"/>
                <w:szCs w:val="18"/>
              </w:rPr>
              <w:t xml:space="preserve">Hazard</w:t>
            </w:r>
          </w:p>
        </w:tc>
        <w:tc>
          <w:tcPr>
            <w:tcW w:type="dxa" w:w="2200"/>
            <w:shd w:fill="1F3864" w:color="auto" w:val="clear"/>
            <w:tcMar>
              <w:top w:type="dxa" w:w="60"/>
              <w:left w:type="dxa" w:w="80"/>
              <w:bottom w:type="dxa" w:w="60"/>
              <w:right w:type="dxa" w:w="80"/>
            </w:tcMar>
            <w:vAlign w:val="center"/>
          </w:tcPr>
          <w:p>
            <w:pPr>
              <w:jc w:val="left"/>
            </w:pPr>
            <w:r>
              <w:rPr>
                <w:b/>
                <w:bCs/>
                <w:color w:val="FFFFFF"/>
                <w:sz w:val="18"/>
                <w:szCs w:val="18"/>
              </w:rPr>
              <w:t xml:space="preserve">Risk / Effect</w:t>
            </w:r>
          </w:p>
        </w:tc>
        <w:tc>
          <w:tcPr>
            <w:tcW w:type="dxa" w:w="1900"/>
            <w:shd w:fill="1F3864" w:color="auto" w:val="clear"/>
            <w:tcMar>
              <w:top w:type="dxa" w:w="60"/>
              <w:left w:type="dxa" w:w="80"/>
              <w:bottom w:type="dxa" w:w="60"/>
              <w:right w:type="dxa" w:w="80"/>
            </w:tcMar>
            <w:vAlign w:val="center"/>
          </w:tcPr>
          <w:p>
            <w:pPr>
              <w:jc w:val="left"/>
            </w:pPr>
            <w:r>
              <w:rPr>
                <w:b/>
                <w:bCs/>
                <w:color w:val="FFFFFF"/>
                <w:sz w:val="18"/>
                <w:szCs w:val="18"/>
              </w:rPr>
              <w:t xml:space="preserve">Existing Controls</w:t>
            </w:r>
          </w:p>
        </w:tc>
        <w:tc>
          <w:tcPr>
            <w:tcW w:type="dxa" w:w="1900"/>
            <w:shd w:fill="1F3864" w:color="auto" w:val="clear"/>
            <w:tcMar>
              <w:top w:type="dxa" w:w="60"/>
              <w:left w:type="dxa" w:w="80"/>
              <w:bottom w:type="dxa" w:w="60"/>
              <w:right w:type="dxa" w:w="80"/>
            </w:tcMar>
            <w:vAlign w:val="center"/>
          </w:tcPr>
          <w:p>
            <w:pPr>
              <w:jc w:val="left"/>
            </w:pPr>
            <w:r>
              <w:rPr>
                <w:b/>
                <w:bCs/>
                <w:color w:val="FFFFFF"/>
                <w:sz w:val="18"/>
                <w:szCs w:val="18"/>
              </w:rPr>
              <w:t xml:space="preserve">Assessment (C / L / RR)</w:t>
            </w:r>
          </w:p>
        </w:tc>
        <w:tc>
          <w:tcPr>
            <w:tcW w:type="dxa" w:w="1880"/>
            <w:shd w:fill="1F3864" w:color="auto" w:val="clear"/>
            <w:tcMar>
              <w:top w:type="dxa" w:w="60"/>
              <w:left w:type="dxa" w:w="80"/>
              <w:bottom w:type="dxa" w:w="60"/>
              <w:right w:type="dxa" w:w="80"/>
            </w:tcMar>
            <w:vAlign w:val="center"/>
          </w:tcPr>
          <w:p>
            <w:pPr>
              <w:jc w:val="left"/>
            </w:pPr>
            <w:r>
              <w:rPr>
                <w:b/>
                <w:bCs/>
                <w:color w:val="FFFFFF"/>
                <w:sz w:val="18"/>
                <w:szCs w:val="18"/>
              </w:rPr>
              <w:t xml:space="preserve">Residual (C / L / RR)</w:t>
            </w:r>
          </w:p>
        </w:tc>
      </w:tr>
      <w:tr>
        <w:tc>
          <w:tcPr>
            <w:tcW w:type="dxa" w:w="2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Removal of Solids from Tank (via Tank Entry) – Post Water Wash</w:t>
            </w:r>
          </w:p>
        </w:tc>
        <w:tc>
          <w:tcPr>
            <w:tcW w:type="dxa" w:w="2200"/>
            <w:tcMar>
              <w:top w:type="dxa" w:w="60"/>
              <w:left w:type="dxa" w:w="80"/>
              <w:bottom w:type="dxa" w:w="60"/>
              <w:right w:type="dxa" w:w="80"/>
            </w:tcMar>
            <w:vAlign w:val="center"/>
          </w:tcPr>
          <w:p>
            <w:pPr>
              <w:jc w:val="left"/>
            </w:pPr>
            <w:r>
              <w:rPr>
                <w:b w:val="false"/>
                <w:bCs w:val="false"/>
                <w:color w:val="000000"/>
                <w:sz w:val="18"/>
                <w:szCs w:val="18"/>
              </w:rPr>
              <w:t xml:space="preserve">Injury including fatal to personnel. Damage to Plant and Equipment.</w:t>
            </w:r>
          </w:p>
        </w:tc>
        <w:tc>
          <w:tcPr>
            <w:tcW w:type="dxa" w:w="1900"/>
            <w:tcMar>
              <w:top w:type="dxa" w:w="60"/>
              <w:left w:type="dxa" w:w="80"/>
              <w:bottom w:type="dxa" w:w="60"/>
              <w:right w:type="dxa" w:w="80"/>
            </w:tcMar>
            <w:vAlign w:val="center"/>
          </w:tcPr>
          <w:p>
            <w:pPr>
              <w:jc w:val="left"/>
            </w:pPr>
            <w:r>
              <w:rPr>
                <w:b w:val="false"/>
                <w:bCs w:val="false"/>
                <w:color w:val="000000"/>
                <w:sz w:val="18"/>
                <w:szCs w:val="18"/>
              </w:rPr>
              <w:t xml:space="preserve">Permit to Work System; Site Induction; CSE Attendant Training; RAEC LOTO; Remote Bund; Fire Fighting System</w:t>
            </w:r>
          </w:p>
        </w:tc>
        <w:tc>
          <w:tcPr>
            <w:tcW w:type="dxa" w:w="1900"/>
            <w:tcMar>
              <w:top w:type="dxa" w:w="60"/>
              <w:left w:type="dxa" w:w="80"/>
              <w:bottom w:type="dxa" w:w="60"/>
              <w:right w:type="dxa" w:w="80"/>
            </w:tcMar>
            <w:vAlign w:val="center"/>
          </w:tcPr>
          <w:p>
            <w:pPr>
              <w:jc w:val="center"/>
            </w:pPr>
            <w:r>
              <w:rPr>
                <w:b w:val="false"/>
                <w:bCs w:val="false"/>
                <w:color w:val="000000"/>
                <w:sz w:val="18"/>
                <w:szCs w:val="18"/>
              </w:rPr>
              <w:t xml:space="preserve">5 / 3 / III</w:t>
            </w:r>
          </w:p>
        </w:tc>
        <w:tc>
          <w:tcPr>
            <w:tcW w:type="dxa" w:w="1880"/>
            <w:tcMar>
              <w:top w:type="dxa" w:w="60"/>
              <w:left w:type="dxa" w:w="80"/>
              <w:bottom w:type="dxa" w:w="60"/>
              <w:right w:type="dxa" w:w="80"/>
            </w:tcMar>
            <w:vAlign w:val="center"/>
          </w:tcPr>
          <w:p>
            <w:pPr>
              <w:jc w:val="center"/>
            </w:pPr>
            <w:r>
              <w:rPr>
                <w:b w:val="false"/>
                <w:bCs w:val="false"/>
                <w:color w:val="000000"/>
                <w:sz w:val="18"/>
                <w:szCs w:val="18"/>
              </w:rPr>
              <w:t xml:space="preserve">5 / 2 / II</w:t>
            </w:r>
          </w:p>
        </w:tc>
      </w:tr>
    </w:tbl>
    <w:p>
      <w:pPr>
        <w:spacing w:after="110"/>
      </w:pPr>
      <w:r>
        <w:rPr>
          <w:sz w:val="20"/>
          <w:szCs w:val="20"/>
        </w:rPr>
        <w:t xml:space="preserve"/>
      </w:r>
    </w:p>
    <w:p>
      <w:pPr>
        <w:spacing w:after="110"/>
      </w:pPr>
      <w:r>
        <w:rPr>
          <w:i/>
          <w:iCs/>
          <w:sz w:val="20"/>
          <w:szCs w:val="20"/>
        </w:rPr>
        <w:t xml:space="preserve">Risk Mitigation Measures applied: Vent tank prior to entry; CSE Permit; Confined Space Attendant on tank watch at all times during entry; commence works when LEL is ~5% or less (suspend and vent if higher than 10%); jetting lance with auto shutoff and emergency shutoff buttons; rotate entry personnel to prevent exhaustion; new operator makes visual contact with jetting operator before approaching; adequate lighting maintained throughout.</w:t>
      </w:r>
    </w:p>
    <w:p>
      <w:pPr>
        <w:pStyle w:val="Heading1"/>
        <w:pBdr>
          <w:bottom w:val="single" w:color="1F3864" w:sz="8" w:space="4"/>
        </w:pBdr>
        <w:spacing w:after="120" w:before="260"/>
      </w:pPr>
      <w:r>
        <w:rPr>
          <w:b/>
          <w:bCs/>
          <w:color w:val="1F3864"/>
          <w:sz w:val="26"/>
          <w:szCs w:val="26"/>
        </w:rPr>
        <w:t xml:space="preserve">3.0  Sample Risk Assessment (RA) Summary — RAM Application</w:t>
      </w:r>
    </w:p>
    <w:p>
      <w:pPr>
        <w:spacing w:after="110"/>
      </w:pPr>
      <w:r>
        <w:rPr>
          <w:sz w:val="20"/>
          <w:szCs w:val="20"/>
        </w:rPr>
        <w:t xml:space="preserve">Per the SWDA Risk Assessment Method Analysis (HSE Plan Fig. 4–5): (1) select the most realistic consequence; (2) select the likelihood with current controls in place; (3) determine category from the Risk Matrix; (4) achieve Category I or II before proceeding; (5) do not proceed if Category is III or IV.</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1680"/>
        <w:gridCol w:w="1680"/>
        <w:gridCol w:w="1680"/>
        <w:gridCol w:w="1680"/>
      </w:tblGrid>
      <w:tr>
        <w:tc>
          <w:tcPr>
            <w:tcW w:type="dxa" w:w="3360"/>
            <w:shd w:fill="1F3864" w:color="auto" w:val="clear"/>
            <w:tcMar>
              <w:top w:type="dxa" w:w="60"/>
              <w:left w:type="dxa" w:w="80"/>
              <w:bottom w:type="dxa" w:w="60"/>
              <w:right w:type="dxa" w:w="80"/>
            </w:tcMar>
            <w:vAlign w:val="center"/>
          </w:tcPr>
          <w:p>
            <w:pPr>
              <w:jc w:val="left"/>
            </w:pPr>
            <w:r>
              <w:rPr>
                <w:b/>
                <w:bCs/>
                <w:color w:val="FFFFFF"/>
                <w:sz w:val="18"/>
                <w:szCs w:val="18"/>
              </w:rPr>
              <w:t xml:space="preserve">Task</w:t>
            </w:r>
          </w:p>
        </w:tc>
        <w:tc>
          <w:tcPr>
            <w:tcW w:type="dxa" w:w="1680"/>
            <w:shd w:fill="1F3864" w:color="auto" w:val="clear"/>
            <w:tcMar>
              <w:top w:type="dxa" w:w="60"/>
              <w:left w:type="dxa" w:w="80"/>
              <w:bottom w:type="dxa" w:w="60"/>
              <w:right w:type="dxa" w:w="80"/>
            </w:tcMar>
            <w:vAlign w:val="center"/>
          </w:tcPr>
          <w:p>
            <w:pPr>
              <w:jc w:val="center"/>
            </w:pPr>
            <w:r>
              <w:rPr>
                <w:b/>
                <w:bCs/>
                <w:color w:val="FFFFFF"/>
                <w:sz w:val="18"/>
                <w:szCs w:val="18"/>
              </w:rPr>
              <w:t xml:space="preserve">Consequence</w:t>
            </w:r>
          </w:p>
        </w:tc>
        <w:tc>
          <w:tcPr>
            <w:tcW w:type="dxa" w:w="1680"/>
            <w:shd w:fill="1F3864" w:color="auto" w:val="clear"/>
            <w:tcMar>
              <w:top w:type="dxa" w:w="60"/>
              <w:left w:type="dxa" w:w="80"/>
              <w:bottom w:type="dxa" w:w="60"/>
              <w:right w:type="dxa" w:w="80"/>
            </w:tcMar>
            <w:vAlign w:val="center"/>
          </w:tcPr>
          <w:p>
            <w:pPr>
              <w:jc w:val="center"/>
            </w:pPr>
            <w:r>
              <w:rPr>
                <w:b/>
                <w:bCs/>
                <w:color w:val="FFFFFF"/>
                <w:sz w:val="18"/>
                <w:szCs w:val="18"/>
              </w:rPr>
              <w:t xml:space="preserve">Likelihood</w:t>
            </w:r>
          </w:p>
        </w:tc>
        <w:tc>
          <w:tcPr>
            <w:tcW w:type="dxa" w:w="1680"/>
            <w:shd w:fill="1F3864" w:color="auto" w:val="clear"/>
            <w:tcMar>
              <w:top w:type="dxa" w:w="60"/>
              <w:left w:type="dxa" w:w="80"/>
              <w:bottom w:type="dxa" w:w="60"/>
              <w:right w:type="dxa" w:w="80"/>
            </w:tcMar>
            <w:vAlign w:val="center"/>
          </w:tcPr>
          <w:p>
            <w:pPr>
              <w:jc w:val="center"/>
            </w:pPr>
            <w:r>
              <w:rPr>
                <w:b/>
                <w:bCs/>
                <w:color w:val="FFFFFF"/>
                <w:sz w:val="18"/>
                <w:szCs w:val="18"/>
              </w:rPr>
              <w:t xml:space="preserve">Risk Category</w:t>
            </w:r>
          </w:p>
        </w:tc>
        <w:tc>
          <w:tcPr>
            <w:tcW w:type="dxa" w:w="1680"/>
            <w:shd w:fill="1F3864" w:color="auto" w:val="clear"/>
            <w:tcMar>
              <w:top w:type="dxa" w:w="60"/>
              <w:left w:type="dxa" w:w="80"/>
              <w:bottom w:type="dxa" w:w="60"/>
              <w:right w:type="dxa" w:w="80"/>
            </w:tcMar>
            <w:vAlign w:val="center"/>
          </w:tcPr>
          <w:p>
            <w:pPr>
              <w:jc w:val="center"/>
            </w:pPr>
            <w:r>
              <w:rPr>
                <w:b/>
                <w:bCs/>
                <w:color w:val="FFFFFF"/>
                <w:sz w:val="18"/>
                <w:szCs w:val="18"/>
              </w:rPr>
              <w:t xml:space="preserve">Proceed?</w:t>
            </w:r>
          </w:p>
        </w:tc>
      </w:tr>
      <w:tr>
        <w:tc>
          <w:tcPr>
            <w:tcW w:type="dxa" w:w="336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Tank Entry — Removal of Solids (Pre-Mitigation)</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5</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3</w:t>
            </w:r>
          </w:p>
        </w:tc>
        <w:tc>
          <w:tcPr>
            <w:tcW w:type="dxa" w:w="1680"/>
            <w:tcMar>
              <w:top w:type="dxa" w:w="60"/>
              <w:left w:type="dxa" w:w="80"/>
              <w:bottom w:type="dxa" w:w="60"/>
              <w:right w:type="dxa" w:w="80"/>
            </w:tcMar>
            <w:vAlign w:val="center"/>
          </w:tcPr>
          <w:p>
            <w:pPr>
              <w:jc w:val="center"/>
            </w:pPr>
            <w:r>
              <w:rPr>
                <w:b/>
                <w:bCs/>
                <w:color w:val="C00000"/>
                <w:sz w:val="18"/>
                <w:szCs w:val="18"/>
              </w:rPr>
              <w:t xml:space="preserve">III — Significant</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No — Mitigate First</w:t>
            </w:r>
          </w:p>
        </w:tc>
      </w:tr>
      <w:tr>
        <w:tc>
          <w:tcPr>
            <w:tcW w:type="dxa" w:w="336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Tank Entry — Removal of Solids (Post-Mitigation)</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5</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2</w:t>
            </w:r>
          </w:p>
        </w:tc>
        <w:tc>
          <w:tcPr>
            <w:tcW w:type="dxa" w:w="1680"/>
            <w:tcMar>
              <w:top w:type="dxa" w:w="60"/>
              <w:left w:type="dxa" w:w="80"/>
              <w:bottom w:type="dxa" w:w="60"/>
              <w:right w:type="dxa" w:w="80"/>
            </w:tcMar>
            <w:vAlign w:val="center"/>
          </w:tcPr>
          <w:p>
            <w:pPr>
              <w:jc w:val="center"/>
            </w:pPr>
            <w:r>
              <w:rPr>
                <w:b/>
                <w:bCs/>
                <w:color w:val="000000"/>
                <w:sz w:val="18"/>
                <w:szCs w:val="18"/>
              </w:rPr>
              <w:t xml:space="preserve">II — Medium (ALARP)</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Yes — Controls Verified</w:t>
            </w:r>
          </w:p>
        </w:tc>
      </w:tr>
    </w:tbl>
    <w:p>
      <w:pPr>
        <w:pStyle w:val="Heading1"/>
        <w:pBdr>
          <w:bottom w:val="single" w:color="1F3864" w:sz="8" w:space="4"/>
        </w:pBdr>
        <w:spacing w:after="120" w:before="260"/>
      </w:pPr>
      <w:r>
        <w:rPr>
          <w:b/>
          <w:bCs/>
          <w:color w:val="1F3864"/>
          <w:sz w:val="26"/>
          <w:szCs w:val="26"/>
        </w:rPr>
        <w:t xml:space="preserve">4.0  Toolbox Talk Attendance Register — Agbami FPSO (4th Campaign)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2200"/>
        <w:gridCol w:w="30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Toolbox Talk Topic</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Removal of Solids from Tank — CSE Rotation &amp; Gas Testing Awareness</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0"/>
        <w:gridCol w:w="2800"/>
        <w:gridCol w:w="2800"/>
        <w:gridCol w:w="1980"/>
        <w:gridCol w:w="2000"/>
      </w:tblGrid>
      <w:tr>
        <w:tc>
          <w:tcPr>
            <w:tcW w:type="dxa" w:w="500"/>
            <w:shd w:fill="1F3864" w:color="auto" w:val="clear"/>
            <w:tcMar>
              <w:top w:type="dxa" w:w="60"/>
              <w:left w:type="dxa" w:w="80"/>
              <w:bottom w:type="dxa" w:w="60"/>
              <w:right w:type="dxa" w:w="80"/>
            </w:tcMar>
            <w:vAlign w:val="center"/>
          </w:tcPr>
          <w:p>
            <w:pPr>
              <w:jc w:val="center"/>
            </w:pPr>
            <w:r>
              <w:rPr>
                <w:b/>
                <w:bCs/>
                <w:color w:val="FFFFFF"/>
                <w:sz w:val="18"/>
                <w:szCs w:val="18"/>
              </w:rPr>
              <w:t xml:space="preserve">S/N</w:t>
            </w:r>
          </w:p>
        </w:tc>
        <w:tc>
          <w:tcPr>
            <w:tcW w:type="dxa" w:w="2800"/>
            <w:shd w:fill="1F3864" w:color="auto" w:val="clear"/>
            <w:tcMar>
              <w:top w:type="dxa" w:w="60"/>
              <w:left w:type="dxa" w:w="80"/>
              <w:bottom w:type="dxa" w:w="60"/>
              <w:right w:type="dxa" w:w="80"/>
            </w:tcMar>
            <w:vAlign w:val="center"/>
          </w:tcPr>
          <w:p>
            <w:pPr>
              <w:jc w:val="left"/>
            </w:pPr>
            <w:r>
              <w:rPr>
                <w:b/>
                <w:bCs/>
                <w:color w:val="FFFFFF"/>
                <w:sz w:val="18"/>
                <w:szCs w:val="18"/>
              </w:rPr>
              <w:t xml:space="preserve">Name</w:t>
            </w:r>
          </w:p>
        </w:tc>
        <w:tc>
          <w:tcPr>
            <w:tcW w:type="dxa" w:w="2800"/>
            <w:shd w:fill="1F3864" w:color="auto" w:val="clear"/>
            <w:tcMar>
              <w:top w:type="dxa" w:w="60"/>
              <w:left w:type="dxa" w:w="80"/>
              <w:bottom w:type="dxa" w:w="60"/>
              <w:right w:type="dxa" w:w="80"/>
            </w:tcMar>
            <w:vAlign w:val="center"/>
          </w:tcPr>
          <w:p>
            <w:pPr>
              <w:jc w:val="left"/>
            </w:pPr>
            <w:r>
              <w:rPr>
                <w:b/>
                <w:bCs/>
                <w:color w:val="FFFFFF"/>
                <w:sz w:val="18"/>
                <w:szCs w:val="18"/>
              </w:rPr>
              <w:t xml:space="preserve">Designation</w:t>
            </w:r>
          </w:p>
        </w:tc>
        <w:tc>
          <w:tcPr>
            <w:tcW w:type="dxa" w:w="1980"/>
            <w:shd w:fill="1F3864" w:color="auto" w:val="clear"/>
            <w:tcMar>
              <w:top w:type="dxa" w:w="60"/>
              <w:left w:type="dxa" w:w="80"/>
              <w:bottom w:type="dxa" w:w="60"/>
              <w:right w:type="dxa" w:w="80"/>
            </w:tcMar>
            <w:vAlign w:val="center"/>
          </w:tcPr>
          <w:p>
            <w:pPr>
              <w:jc w:val="center"/>
            </w:pPr>
            <w:r>
              <w:rPr>
                <w:b/>
                <w:bCs/>
                <w:color w:val="FFFFFF"/>
                <w:sz w:val="18"/>
                <w:szCs w:val="18"/>
              </w:rPr>
              <w:t xml:space="preserve">Signature</w:t>
            </w:r>
          </w:p>
        </w:tc>
        <w:tc>
          <w:tcPr>
            <w:tcW w:type="dxa" w:w="2000"/>
            <w:shd w:fill="1F3864" w:color="auto" w:val="clear"/>
            <w:tcMar>
              <w:top w:type="dxa" w:w="60"/>
              <w:left w:type="dxa" w:w="80"/>
              <w:bottom w:type="dxa" w:w="60"/>
              <w:right w:type="dxa" w:w="80"/>
            </w:tcMar>
            <w:vAlign w:val="center"/>
          </w:tcPr>
          <w:p>
            <w:pPr>
              <w:jc w:val="center"/>
            </w:pPr>
            <w:r>
              <w:rPr>
                <w:b/>
                <w:bCs/>
                <w:color w:val="FFFFFF"/>
                <w:sz w:val="18"/>
                <w:szCs w:val="18"/>
              </w:rPr>
              <w:t xml:space="preserve">Date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1</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Miracle Maduforo</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Project Manager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2</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Maxwell Wonuigwe</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On-Site HSE Officer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3</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Joseph Krobiri</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Lead Field Supervisor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4</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Moses Ehinor</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Lead Entrant Supervisor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5</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Jeff Ofolomah</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Tank Cleaning Entrant 1</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6</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Danny Obi</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Tank Cleaning Entrant 2</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7</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John James</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Tank Cleaning Entrant 3</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8</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Botimi Matthew</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Rescue Access Team</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bl>
    <w:p>
      <w:pPr>
        <w:spacing w:after="110"/>
      </w:pPr>
      <w:r>
        <w:rPr>
          <w:i/>
          <w:iCs/>
          <w:sz w:val="20"/>
          <w:szCs w:val="20"/>
        </w:rPr>
        <w:t xml:space="preserve">Conducted by: Maxwell Wonuigwe (On-Site HSE Officer). Facilitated per SWDA Safety Policy Statement requirement that "safety meeting, including toolbox talks is held regularly on all sites."</w:t>
      </w:r>
    </w:p>
    <w:p>
      <w:pPr>
        <w:pStyle w:val="Heading1"/>
        <w:pBdr>
          <w:bottom w:val="single" w:color="1F3864" w:sz="8" w:space="4"/>
        </w:pBdr>
        <w:spacing w:after="120" w:before="260"/>
      </w:pPr>
      <w:r>
        <w:rPr>
          <w:b/>
          <w:bCs/>
          <w:color w:val="1F3864"/>
          <w:sz w:val="26"/>
          <w:szCs w:val="26"/>
        </w:rPr>
        <w:t xml:space="preserve">5.0  Toolbox Talk Attendance Register — Utorogu (NEPL, Acid Stimulation &amp; Coiled Tubing Operations)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Toolbox Talk Topic</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Acid Handling &amp; Coiled Tubing Line-Break Hazard Awareness — Pre-Job Briefing</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0"/>
        <w:gridCol w:w="2800"/>
        <w:gridCol w:w="2800"/>
        <w:gridCol w:w="1980"/>
        <w:gridCol w:w="2000"/>
      </w:tblGrid>
      <w:tr>
        <w:tc>
          <w:tcPr>
            <w:tcW w:type="dxa" w:w="500"/>
            <w:shd w:fill="1F3864" w:color="auto" w:val="clear"/>
            <w:tcMar>
              <w:top w:type="dxa" w:w="60"/>
              <w:left w:type="dxa" w:w="80"/>
              <w:bottom w:type="dxa" w:w="60"/>
              <w:right w:type="dxa" w:w="80"/>
            </w:tcMar>
            <w:vAlign w:val="center"/>
          </w:tcPr>
          <w:p>
            <w:pPr>
              <w:jc w:val="center"/>
            </w:pPr>
            <w:r>
              <w:rPr>
                <w:b/>
                <w:bCs/>
                <w:color w:val="FFFFFF"/>
                <w:sz w:val="18"/>
                <w:szCs w:val="18"/>
              </w:rPr>
              <w:t xml:space="preserve">S/N</w:t>
            </w:r>
          </w:p>
        </w:tc>
        <w:tc>
          <w:tcPr>
            <w:tcW w:type="dxa" w:w="2800"/>
            <w:shd w:fill="1F3864" w:color="auto" w:val="clear"/>
            <w:tcMar>
              <w:top w:type="dxa" w:w="60"/>
              <w:left w:type="dxa" w:w="80"/>
              <w:bottom w:type="dxa" w:w="60"/>
              <w:right w:type="dxa" w:w="80"/>
            </w:tcMar>
            <w:vAlign w:val="center"/>
          </w:tcPr>
          <w:p>
            <w:pPr>
              <w:jc w:val="left"/>
            </w:pPr>
            <w:r>
              <w:rPr>
                <w:b/>
                <w:bCs/>
                <w:color w:val="FFFFFF"/>
                <w:sz w:val="18"/>
                <w:szCs w:val="18"/>
              </w:rPr>
              <w:t xml:space="preserve">Name</w:t>
            </w:r>
          </w:p>
        </w:tc>
        <w:tc>
          <w:tcPr>
            <w:tcW w:type="dxa" w:w="2800"/>
            <w:shd w:fill="1F3864" w:color="auto" w:val="clear"/>
            <w:tcMar>
              <w:top w:type="dxa" w:w="60"/>
              <w:left w:type="dxa" w:w="80"/>
              <w:bottom w:type="dxa" w:w="60"/>
              <w:right w:type="dxa" w:w="80"/>
            </w:tcMar>
            <w:vAlign w:val="center"/>
          </w:tcPr>
          <w:p>
            <w:pPr>
              <w:jc w:val="left"/>
            </w:pPr>
            <w:r>
              <w:rPr>
                <w:b/>
                <w:bCs/>
                <w:color w:val="FFFFFF"/>
                <w:sz w:val="18"/>
                <w:szCs w:val="18"/>
              </w:rPr>
              <w:t xml:space="preserve">Designation</w:t>
            </w:r>
          </w:p>
        </w:tc>
        <w:tc>
          <w:tcPr>
            <w:tcW w:type="dxa" w:w="1980"/>
            <w:shd w:fill="1F3864" w:color="auto" w:val="clear"/>
            <w:tcMar>
              <w:top w:type="dxa" w:w="60"/>
              <w:left w:type="dxa" w:w="80"/>
              <w:bottom w:type="dxa" w:w="60"/>
              <w:right w:type="dxa" w:w="80"/>
            </w:tcMar>
            <w:vAlign w:val="center"/>
          </w:tcPr>
          <w:p>
            <w:pPr>
              <w:jc w:val="center"/>
            </w:pPr>
            <w:r>
              <w:rPr>
                <w:b/>
                <w:bCs/>
                <w:color w:val="FFFFFF"/>
                <w:sz w:val="18"/>
                <w:szCs w:val="18"/>
              </w:rPr>
              <w:t xml:space="preserve">Signature</w:t>
            </w:r>
          </w:p>
        </w:tc>
        <w:tc>
          <w:tcPr>
            <w:tcW w:type="dxa" w:w="2000"/>
            <w:shd w:fill="1F3864" w:color="auto" w:val="clear"/>
            <w:tcMar>
              <w:top w:type="dxa" w:w="60"/>
              <w:left w:type="dxa" w:w="80"/>
              <w:bottom w:type="dxa" w:w="60"/>
              <w:right w:type="dxa" w:w="80"/>
            </w:tcMar>
            <w:vAlign w:val="center"/>
          </w:tcPr>
          <w:p>
            <w:pPr>
              <w:jc w:val="center"/>
            </w:pPr>
            <w:r>
              <w:rPr>
                <w:b/>
                <w:bCs/>
                <w:color w:val="FFFFFF"/>
                <w:sz w:val="18"/>
                <w:szCs w:val="18"/>
              </w:rPr>
              <w:t xml:space="preserve">Date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1</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Miracle Maduforo</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Project Manager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2</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Engr. Rori Wekpe, P.E.</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Engineering Manager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3</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Maxwell Wonuigwe</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On-Site HSE Officer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4</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Joseph Krobiri</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Lead Field Supervisor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5</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Moses Ehinor</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Lead Entrant Supervisor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6</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Jefferson Oki Prince</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Rescue Access Team</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7</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Hannah Adewuyi</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Site Nurse</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bl>
    <w:p>
      <w:pPr>
        <w:spacing w:after="110"/>
      </w:pPr>
      <w:r>
        <w:rPr>
          <w:i/>
          <w:iCs/>
          <w:sz w:val="20"/>
          <w:szCs w:val="20"/>
        </w:rPr>
        <w:t xml:space="preserve">Conducted by: Maxwell Wonuigwe (On-Site HSE Officer), with H₂S Awareness content per the corresponding JHSA entry for Live Services / H₂S hazards.</w:t>
      </w:r>
    </w:p>
    <w:p>
      <w:pPr>
        <w:pStyle w:val="Heading1"/>
        <w:pBdr>
          <w:bottom w:val="single" w:color="1F3864" w:sz="8" w:space="4"/>
        </w:pBdr>
        <w:spacing w:after="120" w:before="260"/>
      </w:pPr>
      <w:r>
        <w:rPr>
          <w:b/>
          <w:bCs/>
          <w:color w:val="1F3864"/>
          <w:sz w:val="26"/>
          <w:szCs w:val="26"/>
        </w:rPr>
        <w:t xml:space="preserve">6.0  MD Endorsement</w:t>
      </w:r>
    </w:p>
    <w:p>
      <w:pPr>
        <w:spacing w:after="110"/>
      </w:pPr>
      <w:r>
        <w:rPr>
          <w:sz w:val="20"/>
          <w:szCs w:val="20"/>
        </w:rPr>
        <w:t xml:space="preserve">I, Gliffeth Wonuigwe, Group CEO / Managing Director of South West Design Africa Limited (SWDA), have reviewed and hereby endorse the Permit to Work, Job Safety &amp; Hazard Analysis, Risk Assessment, and Toolbox Talk records reproduced above as authentic evidence of SWDA's HSE risk-management practice on the Agbami FPSO (Chevron Nigeria Limited) and Utorogu (NNPC E&amp;P Ltd / NEPL) projects, in response to Capability Assessment Item 5.1(a)-1 / 5.1(a)-3 raised by the Renaissance Africa Energy Company (RAEC) HSE Lead.</w:t>
      </w:r>
    </w:p>
    <w:p>
      <w:pPr>
        <w:spacing w:after="60" w:before="300"/>
      </w:pPr>
      <w:r>
        <w:rPr>
          <w:sz w:val="20"/>
          <w:szCs w:val="20"/>
        </w:rPr>
        <w:t xml:space="preserve">SIGNED: ______________________________</w:t>
      </w:r>
    </w:p>
    <w:p>
      <w:pPr>
        <w:spacing w:after="40"/>
      </w:pPr>
      <w:r>
        <w:rPr>
          <w:b/>
          <w:bCs/>
          <w:sz w:val="20"/>
          <w:szCs w:val="20"/>
        </w:rPr>
        <w:t xml:space="preserve">Gliffeth Wonuigwe — Group CEO / Managing Director, SWDA Limited</w:t>
      </w:r>
    </w:p>
    <w:p>
      <w:r>
        <w:rPr>
          <w:sz w:val="20"/>
          <w:szCs w:val="20"/>
        </w:rPr>
        <w:t xml:space="preserve">Date: 06 August 2026</w:t>
      </w:r>
    </w:p>
    <w:sectPr>
      <w:headerReference w:type="default" r:id="rId7"/>
      <w:footerReference w:type="default" r:id="rId8"/>
      <w:pgSz w:w="12240" w:h="15840" w:orient="portrait"/>
      <w:pgMar w:top="13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SWDA – RAEC 18-Tank ATC/NME Project — Capability Assessment Evidence Pack — Item 5.1(a)-1 / 5.1(a)-3 — Page </w:t>
    </w:r>
    <w:r>
      <w:rPr>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10500"/>
      </w:tabs>
    </w:pPr>
    <w:r>
      <w:rPr>
        <w:b/>
        <w:bCs/>
        <w:color w:val="FFFFFF"/>
        <w:sz w:val="20"/>
        <w:szCs w:val="20"/>
      </w:rPr>
      <w:t xml:space="preserve">SWDA Limited</w:t>
    </w:r>
    <w:r>
      <w:t xml:space="preserve">	</w:t>
    </w:r>
    <w:r>
      <w:rPr>
        <w:b/>
        <w:bCs/>
        <w:i/>
        <w:iCs/>
        <w:color w:val="FFFFFF"/>
        <w:sz w:val="16"/>
        <w:szCs w:val="16"/>
      </w:rPr>
      <w:t xml:space="preserve">ENDORSED: Gliffeth Wonuigwe — Group CEO / Managing Director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2026-08-06T09:29:10.095Z</dcterms:created>
  <dcterms:modified xsi:type="dcterms:W3CDTF">2026-08-06T09:29:10.287Z</dcterms:modified>
</cp:coreProperties>
</file>

<file path=docProps/custom.xml><?xml version="1.0" encoding="utf-8"?>
<Properties xmlns="http://schemas.openxmlformats.org/officeDocument/2006/custom-properties" xmlns:vt="http://schemas.openxmlformats.org/officeDocument/2006/docPropsVTypes"/>
</file>