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400"/>
      </w:pPr>
      <w:r>
        <w:rPr>
          <w:rFonts w:ascii="Calibri" w:cs="Calibri" w:eastAsia="Calibri" w:hAnsi="Calibri"/>
          <w:color w:val="1A1A1A"/>
          <w:sz w:val="20"/>
          <w:szCs w:val="20"/>
        </w:rPr>
        <w:t xml:space="preserve"/>
      </w:r>
    </w:p>
    <w:p>
      <w:pPr>
        <w:pBdr>
          <w:bottom w:val="single" w:color="B8944F" w:sz="12" w:space="10"/>
        </w:pBdr>
        <w:spacing w:after="0" w:before="800"/>
        <w:jc w:val="center"/>
      </w:pPr>
      <w:r>
        <w:rPr>
          <w:rFonts w:ascii="Calibri" w:cs="Calibri" w:eastAsia="Calibri" w:hAnsi="Calibri"/>
          <w:b/>
          <w:bCs/>
          <w:color w:val="1B2A4A"/>
          <w:sz w:val="32"/>
          <w:szCs w:val="32"/>
        </w:rPr>
        <w:t xml:space="preserve">SOUTH WEST DESIGN AFRICA LIMITED</w:t>
      </w:r>
    </w:p>
    <w:p>
      <w:pPr>
        <w:spacing w:after="600" w:before="120"/>
        <w:jc w:val="center"/>
      </w:pPr>
      <w:r>
        <w:rPr>
          <w:rFonts w:ascii="Calibri" w:cs="Calibri" w:eastAsia="Calibri" w:hAnsi="Calibri"/>
          <w:i/>
          <w:iCs/>
          <w:color w:val="0F6C6C"/>
          <w:sz w:val="20"/>
          <w:szCs w:val="20"/>
        </w:rPr>
        <w:t xml:space="preserve">HSE &amp; Project Compliance Documentation</w:t>
      </w:r>
    </w:p>
    <w:p>
      <w:pPr>
        <w:spacing w:after="200" w:before="1200"/>
        <w:jc w:val="center"/>
      </w:pPr>
      <w:r>
        <w:rPr>
          <w:rFonts w:ascii="Calibri" w:cs="Calibri" w:eastAsia="Calibri" w:hAnsi="Calibri"/>
          <w:b/>
          <w:bCs/>
          <w:color w:val="1B2A4A"/>
          <w:sz w:val="44"/>
          <w:szCs w:val="44"/>
        </w:rPr>
        <w:t xml:space="preserve">SWDA HSE AUDIT &amp; INSPECTION PROCEDURE</w:t>
      </w:r>
    </w:p>
    <w:p>
      <w:pPr>
        <w:spacing w:after="800" w:before="0"/>
        <w:jc w:val="center"/>
      </w:pPr>
      <w:r>
        <w:rPr>
          <w:rFonts w:ascii="Calibri" w:cs="Calibri" w:eastAsia="Calibri" w:hAnsi="Calibri"/>
          <w:color w:val="0F6C6C"/>
          <w:sz w:val="22"/>
          <w:szCs w:val="22"/>
        </w:rPr>
        <w:t xml:space="preserve">Corporate HSE-MS &amp; QMS Audit Programme • Site &amp; Equipment Inspection Programme</w:t>
      </w:r>
    </w:p>
    <w:p>
      <w:pPr>
        <w:spacing w:after="100" w:before="200"/>
        <w:jc w:val="center"/>
      </w:pPr>
      <w:r>
        <w:rPr>
          <w:rFonts w:ascii="Calibri" w:cs="Calibri" w:eastAsia="Calibri" w:hAnsi="Calibri"/>
          <w:b/>
          <w:bCs/>
          <w:color w:val="1A1A1A"/>
          <w:sz w:val="24"/>
          <w:szCs w:val="24"/>
        </w:rPr>
        <w:t xml:space="preserve">South West Design Africa Limited – Corporate HSE Procedure</w:t>
      </w:r>
    </w:p>
    <w:p>
      <w:pPr>
        <w:spacing w:after="100" w:before="0"/>
        <w:jc w:val="center"/>
      </w:pPr>
      <w:r>
        <w:rPr>
          <w:rFonts w:ascii="Calibri" w:cs="Calibri" w:eastAsia="Calibri" w:hAnsi="Calibri"/>
          <w:color w:val="1A1A1A"/>
          <w:sz w:val="20"/>
          <w:szCs w:val="20"/>
        </w:rPr>
        <w:t xml:space="preserve">Applicable across SWDA's active and past project portfolio, including the Renaissance 18-Tank ATC/NME Project (CW-68582 / CW-515913)</w:t>
      </w:r>
    </w:p>
    <w:p>
      <w:pPr>
        <w:spacing w:after="600" w:before="0"/>
        <w:jc w:val="center"/>
      </w:pPr>
      <w:r>
        <w:rPr>
          <w:rFonts w:ascii="Calibri" w:cs="Calibri" w:eastAsia="Calibri" w:hAnsi="Calibri"/>
          <w:color w:val="1A1A1A"/>
          <w:sz w:val="20"/>
          <w:szCs w:val="20"/>
        </w:rPr>
        <w:t xml:space="preserve">Client: Applicable to all SWDA Clients (current &amp; past engagements)    |    Contractor: South West Design Africa Limited (SWDA)</w:t>
      </w:r>
    </w:p>
    <w:tbl>
      <w:tblPr>
        <w:tblW w:type="dxa" w:w="8500"/>
        <w:jc w:val="center"/>
        <w:tblBorders>
          <w:top w:val="single" w:color="auto" w:sz="4"/>
          <w:left w:val="single" w:color="auto" w:sz="4"/>
          <w:bottom w:val="single" w:color="auto" w:sz="4"/>
          <w:right w:val="single" w:color="auto" w:sz="4"/>
          <w:insideH w:val="single" w:color="auto" w:sz="4"/>
          <w:insideV w:val="single" w:color="auto" w:sz="4"/>
        </w:tblBorders>
      </w:tblPr>
      <w:tblGrid>
        <w:gridCol w:w="3000"/>
        <w:gridCol w:w="5500"/>
      </w:tblGrid>
      <w:tr>
        <w:tc>
          <w:tcPr>
            <w:tcW w:type="dxa" w:w="3000"/>
            <w:shd w:fill="1B2A4A" w:val="clear"/>
            <w:tcMar>
              <w:top w:type="dxa" w:w="100"/>
              <w:left w:type="dxa" w:w="140"/>
              <w:bottom w:type="dxa" w:w="100"/>
              <w:right w:type="dxa" w:w="140"/>
            </w:tcMar>
            <w:vAlign w:val="center"/>
          </w:tcPr>
          <w:p>
            <w:pPr>
              <w:spacing w:after="0"/>
              <w:jc w:val="left"/>
            </w:pPr>
            <w:r>
              <w:rPr>
                <w:rFonts w:ascii="Calibri" w:cs="Calibri" w:eastAsia="Calibri" w:hAnsi="Calibri"/>
                <w:b/>
                <w:bCs/>
                <w:i w:val="false"/>
                <w:iCs w:val="false"/>
                <w:color w:val="FFFFFF"/>
                <w:sz w:val="18"/>
                <w:szCs w:val="18"/>
              </w:rPr>
              <w:t xml:space="preserve">Document No.</w:t>
            </w:r>
          </w:p>
        </w:tc>
        <w:tc>
          <w:tcPr>
            <w:tcW w:type="dxa" w:w="5500"/>
            <w:shd w:fill="FFFFFF" w:val="clear"/>
            <w:tcMar>
              <w:top w:type="dxa" w:w="100"/>
              <w:left w:type="dxa" w:w="140"/>
              <w:bottom w:type="dxa" w:w="100"/>
              <w:right w:type="dxa" w:w="140"/>
            </w:tcMar>
            <w:vAlign w:val="center"/>
          </w:tcPr>
          <w:p>
            <w:pPr>
              <w:spacing w:after="0"/>
              <w:jc w:val="left"/>
            </w:pPr>
            <w:r>
              <w:rPr>
                <w:rFonts w:ascii="Calibri" w:cs="Calibri" w:eastAsia="Calibri" w:hAnsi="Calibri"/>
                <w:b w:val="false"/>
                <w:bCs w:val="false"/>
                <w:i w:val="false"/>
                <w:iCs w:val="false"/>
                <w:color w:val="1A1A1A"/>
                <w:sz w:val="18"/>
                <w:szCs w:val="18"/>
              </w:rPr>
              <w:t xml:space="preserve">SWDA-2026-CORP-002-HAIP</w:t>
            </w:r>
          </w:p>
        </w:tc>
      </w:tr>
      <w:tr>
        <w:tc>
          <w:tcPr>
            <w:tcW w:type="dxa" w:w="3000"/>
            <w:shd w:fill="1B2A4A" w:val="clear"/>
            <w:tcMar>
              <w:top w:type="dxa" w:w="100"/>
              <w:left w:type="dxa" w:w="140"/>
              <w:bottom w:type="dxa" w:w="100"/>
              <w:right w:type="dxa" w:w="140"/>
            </w:tcMar>
            <w:vAlign w:val="center"/>
          </w:tcPr>
          <w:p>
            <w:pPr>
              <w:spacing w:after="0"/>
              <w:jc w:val="left"/>
            </w:pPr>
            <w:r>
              <w:rPr>
                <w:rFonts w:ascii="Calibri" w:cs="Calibri" w:eastAsia="Calibri" w:hAnsi="Calibri"/>
                <w:b/>
                <w:bCs/>
                <w:i w:val="false"/>
                <w:iCs w:val="false"/>
                <w:color w:val="FFFFFF"/>
                <w:sz w:val="18"/>
                <w:szCs w:val="18"/>
              </w:rPr>
              <w:t xml:space="preserve">Revision</w:t>
            </w:r>
          </w:p>
        </w:tc>
        <w:tc>
          <w:tcPr>
            <w:tcW w:type="dxa" w:w="5500"/>
            <w:shd w:fill="E8F2F1" w:val="clear"/>
            <w:tcMar>
              <w:top w:type="dxa" w:w="100"/>
              <w:left w:type="dxa" w:w="140"/>
              <w:bottom w:type="dxa" w:w="100"/>
              <w:right w:type="dxa" w:w="140"/>
            </w:tcMar>
            <w:vAlign w:val="center"/>
          </w:tcPr>
          <w:p>
            <w:pPr>
              <w:spacing w:after="0"/>
              <w:jc w:val="left"/>
            </w:pPr>
            <w:r>
              <w:rPr>
                <w:rFonts w:ascii="Calibri" w:cs="Calibri" w:eastAsia="Calibri" w:hAnsi="Calibri"/>
                <w:b w:val="false"/>
                <w:bCs w:val="false"/>
                <w:i w:val="false"/>
                <w:iCs w:val="false"/>
                <w:color w:val="1A1A1A"/>
                <w:sz w:val="18"/>
                <w:szCs w:val="18"/>
              </w:rPr>
              <w:t xml:space="preserve">Rev. 0</w:t>
            </w:r>
          </w:p>
        </w:tc>
      </w:tr>
      <w:tr>
        <w:tc>
          <w:tcPr>
            <w:tcW w:type="dxa" w:w="3000"/>
            <w:shd w:fill="1B2A4A" w:val="clear"/>
            <w:tcMar>
              <w:top w:type="dxa" w:w="100"/>
              <w:left w:type="dxa" w:w="140"/>
              <w:bottom w:type="dxa" w:w="100"/>
              <w:right w:type="dxa" w:w="140"/>
            </w:tcMar>
            <w:vAlign w:val="center"/>
          </w:tcPr>
          <w:p>
            <w:pPr>
              <w:spacing w:after="0"/>
              <w:jc w:val="left"/>
            </w:pPr>
            <w:r>
              <w:rPr>
                <w:rFonts w:ascii="Calibri" w:cs="Calibri" w:eastAsia="Calibri" w:hAnsi="Calibri"/>
                <w:b/>
                <w:bCs/>
                <w:i w:val="false"/>
                <w:iCs w:val="false"/>
                <w:color w:val="FFFFFF"/>
                <w:sz w:val="18"/>
                <w:szCs w:val="18"/>
              </w:rPr>
              <w:t xml:space="preserve">Issue Date</w:t>
            </w:r>
          </w:p>
        </w:tc>
        <w:tc>
          <w:tcPr>
            <w:tcW w:type="dxa" w:w="5500"/>
            <w:shd w:fill="FFFFFF" w:val="clear"/>
            <w:tcMar>
              <w:top w:type="dxa" w:w="100"/>
              <w:left w:type="dxa" w:w="140"/>
              <w:bottom w:type="dxa" w:w="100"/>
              <w:right w:type="dxa" w:w="140"/>
            </w:tcMar>
            <w:vAlign w:val="center"/>
          </w:tcPr>
          <w:p>
            <w:pPr>
              <w:spacing w:after="0"/>
              <w:jc w:val="left"/>
            </w:pPr>
            <w:r>
              <w:rPr>
                <w:rFonts w:ascii="Calibri" w:cs="Calibri" w:eastAsia="Calibri" w:hAnsi="Calibri"/>
                <w:b w:val="false"/>
                <w:bCs w:val="false"/>
                <w:i w:val="false"/>
                <w:iCs w:val="false"/>
                <w:color w:val="1A1A1A"/>
                <w:sz w:val="18"/>
                <w:szCs w:val="18"/>
              </w:rPr>
              <w:t xml:space="preserve">05 August 2026</w:t>
            </w:r>
          </w:p>
        </w:tc>
      </w:tr>
      <w:tr>
        <w:tc>
          <w:tcPr>
            <w:tcW w:type="dxa" w:w="3000"/>
            <w:shd w:fill="1B2A4A" w:val="clear"/>
            <w:tcMar>
              <w:top w:type="dxa" w:w="100"/>
              <w:left w:type="dxa" w:w="140"/>
              <w:bottom w:type="dxa" w:w="100"/>
              <w:right w:type="dxa" w:w="140"/>
            </w:tcMar>
            <w:vAlign w:val="center"/>
          </w:tcPr>
          <w:p>
            <w:pPr>
              <w:spacing w:after="0"/>
              <w:jc w:val="left"/>
            </w:pPr>
            <w:r>
              <w:rPr>
                <w:rFonts w:ascii="Calibri" w:cs="Calibri" w:eastAsia="Calibri" w:hAnsi="Calibri"/>
                <w:b/>
                <w:bCs/>
                <w:i w:val="false"/>
                <w:iCs w:val="false"/>
                <w:color w:val="FFFFFF"/>
                <w:sz w:val="18"/>
                <w:szCs w:val="18"/>
              </w:rPr>
              <w:t xml:space="preserve">Document Status</w:t>
            </w:r>
          </w:p>
        </w:tc>
        <w:tc>
          <w:tcPr>
            <w:tcW w:type="dxa" w:w="5500"/>
            <w:shd w:fill="E8F2F1" w:val="clear"/>
            <w:tcMar>
              <w:top w:type="dxa" w:w="100"/>
              <w:left w:type="dxa" w:w="140"/>
              <w:bottom w:type="dxa" w:w="100"/>
              <w:right w:type="dxa" w:w="140"/>
            </w:tcMar>
            <w:vAlign w:val="center"/>
          </w:tcPr>
          <w:p>
            <w:pPr>
              <w:spacing w:after="0"/>
              <w:jc w:val="left"/>
            </w:pPr>
            <w:r>
              <w:rPr>
                <w:rFonts w:ascii="Calibri" w:cs="Calibri" w:eastAsia="Calibri" w:hAnsi="Calibri"/>
                <w:b w:val="false"/>
                <w:bCs w:val="false"/>
                <w:i w:val="false"/>
                <w:iCs w:val="false"/>
                <w:color w:val="1A1A1A"/>
                <w:sz w:val="18"/>
                <w:szCs w:val="18"/>
              </w:rPr>
              <w:t xml:space="preserve">Issued for Approval</w:t>
            </w:r>
          </w:p>
        </w:tc>
      </w:tr>
      <w:tr>
        <w:tc>
          <w:tcPr>
            <w:tcW w:type="dxa" w:w="3000"/>
            <w:shd w:fill="1B2A4A" w:val="clear"/>
            <w:tcMar>
              <w:top w:type="dxa" w:w="100"/>
              <w:left w:type="dxa" w:w="140"/>
              <w:bottom w:type="dxa" w:w="100"/>
              <w:right w:type="dxa" w:w="140"/>
            </w:tcMar>
            <w:vAlign w:val="center"/>
          </w:tcPr>
          <w:p>
            <w:pPr>
              <w:spacing w:after="0"/>
              <w:jc w:val="left"/>
            </w:pPr>
            <w:r>
              <w:rPr>
                <w:rFonts w:ascii="Calibri" w:cs="Calibri" w:eastAsia="Calibri" w:hAnsi="Calibri"/>
                <w:b/>
                <w:bCs/>
                <w:i w:val="false"/>
                <w:iCs w:val="false"/>
                <w:color w:val="FFFFFF"/>
                <w:sz w:val="18"/>
                <w:szCs w:val="18"/>
              </w:rPr>
              <w:t xml:space="preserve">Classification</w:t>
            </w:r>
          </w:p>
        </w:tc>
        <w:tc>
          <w:tcPr>
            <w:tcW w:type="dxa" w:w="5500"/>
            <w:shd w:fill="FFFFFF" w:val="clear"/>
            <w:tcMar>
              <w:top w:type="dxa" w:w="100"/>
              <w:left w:type="dxa" w:w="140"/>
              <w:bottom w:type="dxa" w:w="100"/>
              <w:right w:type="dxa" w:w="140"/>
            </w:tcMar>
            <w:vAlign w:val="center"/>
          </w:tcPr>
          <w:p>
            <w:pPr>
              <w:spacing w:after="0"/>
              <w:jc w:val="left"/>
            </w:pPr>
            <w:r>
              <w:rPr>
                <w:rFonts w:ascii="Calibri" w:cs="Calibri" w:eastAsia="Calibri" w:hAnsi="Calibri"/>
                <w:b w:val="false"/>
                <w:bCs w:val="false"/>
                <w:i w:val="false"/>
                <w:iCs w:val="false"/>
                <w:color w:val="1A1A1A"/>
                <w:sz w:val="18"/>
                <w:szCs w:val="18"/>
              </w:rPr>
              <w:t xml:space="preserve">Corporate &amp; Project Controlled Document – HSE / Audit &amp; Inspection</w:t>
            </w:r>
          </w:p>
        </w:tc>
      </w:tr>
    </w:tbl>
    <w:p>
      <w:pPr>
        <w:spacing w:before="800"/>
      </w:pPr>
      <w:r>
        <w:rPr>
          <w:rFonts w:ascii="Calibri" w:cs="Calibri" w:eastAsia="Calibri" w:hAnsi="Calibri"/>
          <w:color w:val="1A1A1A"/>
          <w:sz w:val="20"/>
          <w:szCs w:val="20"/>
        </w:rPr>
        <w:t xml:space="preserve"/>
      </w:r>
    </w:p>
    <w:p>
      <w:pPr>
        <w:spacing w:before="1800"/>
        <w:jc w:val="center"/>
      </w:pPr>
      <w:r>
        <w:rPr>
          <w:rFonts w:ascii="Calibri" w:cs="Calibri" w:eastAsia="Calibri" w:hAnsi="Calibri"/>
          <w:i/>
          <w:iCs/>
          <w:color w:val="1A1A1A"/>
          <w:sz w:val="18"/>
          <w:szCs w:val="18"/>
        </w:rPr>
        <w:t xml:space="preserve">Prepared by the SWDA Project QA/QC &amp; HSE Team</w:t>
      </w:r>
    </w:p>
    <w:p>
      <w:pPr>
        <w:spacing w:before="80"/>
        <w:jc w:val="center"/>
      </w:pPr>
      <w:r>
        <w:rPr>
          <w:rFonts w:ascii="Calibri" w:cs="Calibri" w:eastAsia="Calibri" w:hAnsi="Calibri"/>
          <w:i/>
          <w:iCs/>
          <w:color w:val="1A1A1A"/>
          <w:sz w:val="18"/>
          <w:szCs w:val="18"/>
        </w:rPr>
        <w:t xml:space="preserve">For Review and Approval by SWDA Executive Management</w:t>
      </w:r>
    </w:p>
    <w:p>
      <w:r>
        <w:br w:type="page"/>
      </w:r>
    </w:p>
    <w:p>
      <w:pPr>
        <w:sectPr>
          <w:headerReference w:type="default" r:id="rId7"/>
          <w:footerReference w:type="default" r:id="rId8"/>
          <w:pgSz w:w="12240" w:h="15840" w:orient="portrait"/>
          <w:pgMar w:top="1080" w:right="1080" w:bottom="1080" w:left="1080" w:header="708" w:footer="708" w:gutter="0"/>
          <w:pgNumType/>
          <w:docGrid w:linePitch="360"/>
        </w:sectPr>
      </w:pPr>
    </w:p>
    <w:p>
      <w:pPr>
        <w:pStyle w:val="Heading1"/>
        <w:pBdr>
          <w:bottom w:val="single" w:color="0F6C6C" w:sz="8" w:space="4"/>
        </w:pBdr>
        <w:spacing w:after="160" w:before="360"/>
      </w:pPr>
      <w:r>
        <w:rPr>
          <w:rFonts w:ascii="Calibri" w:cs="Calibri" w:eastAsia="Calibri" w:hAnsi="Calibri"/>
          <w:b/>
          <w:bCs/>
          <w:color w:val="1B2A4A"/>
          <w:sz w:val="28"/>
          <w:szCs w:val="28"/>
        </w:rPr>
        <w:t xml:space="preserve">0.0  Document Control</w:t>
      </w:r>
    </w:p>
    <w:p>
      <w:pPr>
        <w:pStyle w:val="Heading2"/>
        <w:spacing w:after="120" w:before="280"/>
      </w:pPr>
      <w:r>
        <w:rPr>
          <w:rFonts w:ascii="Calibri" w:cs="Calibri" w:eastAsia="Calibri" w:hAnsi="Calibri"/>
          <w:b/>
          <w:bCs/>
          <w:color w:val="0F6C6C"/>
          <w:sz w:val="24"/>
          <w:szCs w:val="24"/>
        </w:rPr>
        <w:t xml:space="preserve">0.1  Revision History</w:t>
      </w:r>
    </w:p>
    <w:tbl>
      <w:tblPr>
        <w:tblW w:type="dxa" w:w="11100"/>
        <w:tblBorders>
          <w:top w:val="single" w:color="auto" w:sz="4"/>
          <w:left w:val="single" w:color="auto" w:sz="4"/>
          <w:bottom w:val="single" w:color="auto" w:sz="4"/>
          <w:right w:val="single" w:color="auto" w:sz="4"/>
          <w:insideH w:val="single" w:color="auto" w:sz="4"/>
          <w:insideV w:val="single" w:color="auto" w:sz="4"/>
        </w:tblBorders>
      </w:tblPr>
      <w:tblGrid>
        <w:gridCol w:w="1400"/>
        <w:gridCol w:w="3400"/>
        <w:gridCol w:w="2400"/>
        <w:gridCol w:w="2200"/>
        <w:gridCol w:w="1700"/>
      </w:tblGrid>
      <w:tr>
        <w:tc>
          <w:tcPr>
            <w:tcW w:type="dxa" w:w="14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Revision No</w:t>
            </w:r>
          </w:p>
        </w:tc>
        <w:tc>
          <w:tcPr>
            <w:tcW w:type="dxa" w:w="34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Description</w:t>
            </w:r>
          </w:p>
        </w:tc>
        <w:tc>
          <w:tcPr>
            <w:tcW w:type="dxa" w:w="24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Prepared By</w:t>
            </w:r>
          </w:p>
        </w:tc>
        <w:tc>
          <w:tcPr>
            <w:tcW w:type="dxa" w:w="22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Reviewed / Approved By</w:t>
            </w:r>
          </w:p>
        </w:tc>
        <w:tc>
          <w:tcPr>
            <w:tcW w:type="dxa" w:w="17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Signature &amp; Date</w:t>
            </w:r>
          </w:p>
        </w:tc>
      </w:tr>
      <w:tr>
        <w:tc>
          <w:tcPr>
            <w:tcW w:type="dxa" w:w="14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6"/>
                <w:szCs w:val="16"/>
              </w:rPr>
              <w:t xml:space="preserve">0</w:t>
            </w:r>
          </w:p>
        </w:tc>
        <w:tc>
          <w:tcPr>
            <w:tcW w:type="dxa" w:w="34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6"/>
                <w:szCs w:val="16"/>
              </w:rPr>
              <w:t xml:space="preserve">Issued for Approval – SWDA HSE Audit &amp; Inspection Procedure covering the corporate audit programme, inspection regime, findings/NCR handling and linkage to the Project Action Tracking Register</w:t>
            </w:r>
          </w:p>
        </w:tc>
        <w:tc>
          <w:tcPr>
            <w:tcW w:type="dxa" w:w="24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6"/>
                <w:szCs w:val="16"/>
              </w:rPr>
              <w:t xml:space="preserve">SWDA QA/QC &amp; HSE Team</w:t>
            </w:r>
          </w:p>
        </w:tc>
        <w:tc>
          <w:tcPr>
            <w:tcW w:type="dxa" w:w="22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6"/>
                <w:szCs w:val="16"/>
              </w:rPr>
              <w:t xml:space="preserve">Engr. Norton Ned Jessup, P.E.</w:t>
            </w:r>
          </w:p>
        </w:tc>
        <w:tc>
          <w:tcPr>
            <w:tcW w:type="dxa" w:w="1700"/>
            <w:tcBorders>
              <w:top w:val="dashed" w:color="9AA5B1" w:sz="6"/>
              <w:left w:val="dashed" w:color="9AA5B1" w:sz="6"/>
              <w:bottom w:val="dashed" w:color="9AA5B1" w:sz="6"/>
              <w:right w:val="dashed" w:color="9AA5B1" w:sz="6"/>
            </w:tcBorders>
            <w:shd w:fill="FFFFFF" w:val="clear"/>
            <w:tcMar>
              <w:top w:type="dxa" w:w="80"/>
              <w:left w:type="dxa" w:w="100"/>
              <w:bottom w:type="dxa" w:w="80"/>
              <w:right w:type="dxa" w:w="100"/>
            </w:tcMar>
            <w:vAlign w:val="center"/>
          </w:tcPr>
          <w:p>
            <w:pPr>
              <w:spacing w:after="30"/>
              <w:jc w:val="center"/>
            </w:pPr>
            <w:r>
              <w:rPr>
                <w:rFonts w:ascii="Calibri" w:cs="Calibri" w:eastAsia="Calibri" w:hAnsi="Calibri"/>
                <w:i/>
                <w:iCs/>
                <w:color w:val="8A94A3"/>
                <w:sz w:val="14"/>
                <w:szCs w:val="14"/>
              </w:rPr>
              <w:t xml:space="preserve">[Signature]</w:t>
            </w:r>
          </w:p>
          <w:p>
            <w:pPr>
              <w:spacing w:after="0"/>
              <w:jc w:val="center"/>
            </w:pPr>
            <w:r>
              <w:rPr>
                <w:rFonts w:ascii="Calibri" w:cs="Calibri" w:eastAsia="Calibri" w:hAnsi="Calibri"/>
                <w:i/>
                <w:iCs/>
                <w:color w:val="8A94A3"/>
                <w:sz w:val="14"/>
                <w:szCs w:val="14"/>
              </w:rPr>
              <w:t xml:space="preserve">[Date]</w:t>
            </w:r>
          </w:p>
        </w:tc>
      </w:tr>
    </w:tbl>
    <w:p>
      <w:pPr>
        <w:spacing w:after="200" w:before="300"/>
      </w:pPr>
      <w:r>
        <w:rPr>
          <w:rFonts w:ascii="Calibri" w:cs="Calibri" w:eastAsia="Calibri" w:hAnsi="Calibri"/>
          <w:color w:val="1A1A1A"/>
          <w:sz w:val="20"/>
          <w:szCs w:val="20"/>
        </w:rPr>
        <w:t xml:space="preserve"/>
      </w:r>
    </w:p>
    <w:p>
      <w:pPr>
        <w:pStyle w:val="Heading2"/>
        <w:spacing w:after="120" w:before="280"/>
      </w:pPr>
      <w:r>
        <w:rPr>
          <w:rFonts w:ascii="Calibri" w:cs="Calibri" w:eastAsia="Calibri" w:hAnsi="Calibri"/>
          <w:b/>
          <w:bCs/>
          <w:color w:val="0F6C6C"/>
          <w:sz w:val="24"/>
          <w:szCs w:val="24"/>
        </w:rPr>
        <w:t xml:space="preserve">0.2  Approval</w:t>
      </w:r>
    </w:p>
    <w:tbl>
      <w:tblPr>
        <w:tblW w:type="dxa" w:w="11100"/>
        <w:tblBorders>
          <w:top w:val="single" w:color="auto" w:sz="4"/>
          <w:left w:val="single" w:color="auto" w:sz="4"/>
          <w:bottom w:val="single" w:color="auto" w:sz="4"/>
          <w:right w:val="single" w:color="auto" w:sz="4"/>
          <w:insideH w:val="single" w:color="auto" w:sz="4"/>
          <w:insideV w:val="single" w:color="auto" w:sz="4"/>
        </w:tblBorders>
      </w:tblPr>
      <w:tblGrid>
        <w:gridCol w:w="3100"/>
        <w:gridCol w:w="3100"/>
        <w:gridCol w:w="3100"/>
        <w:gridCol w:w="1800"/>
      </w:tblGrid>
      <w:tr>
        <w:tc>
          <w:tcPr>
            <w:tcW w:type="dxa" w:w="31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Originated By</w:t>
            </w:r>
          </w:p>
        </w:tc>
        <w:tc>
          <w:tcPr>
            <w:tcW w:type="dxa" w:w="31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Checked By</w:t>
            </w:r>
          </w:p>
        </w:tc>
        <w:tc>
          <w:tcPr>
            <w:tcW w:type="dxa" w:w="31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Approved By</w:t>
            </w:r>
          </w:p>
        </w:tc>
        <w:tc>
          <w:tcPr>
            <w:tcW w:type="dxa" w:w="18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Signature</w:t>
            </w:r>
          </w:p>
        </w:tc>
      </w:tr>
      <w:tr>
        <w:tc>
          <w:tcPr>
            <w:tcW w:type="dxa" w:w="3100"/>
            <w:shd w:fill="FFFFFF" w:val="clear"/>
            <w:tcMar>
              <w:top w:type="dxa" w:w="700"/>
              <w:left w:type="dxa" w:w="120"/>
              <w:bottom w:type="dxa" w:w="200"/>
              <w:right w:type="dxa" w:w="120"/>
            </w:tcMar>
            <w:vAlign w:val="center"/>
          </w:tcPr>
          <w:p>
            <w:pPr>
              <w:spacing w:after="40"/>
              <w:jc w:val="center"/>
            </w:pPr>
            <w:r>
              <w:rPr>
                <w:rFonts w:ascii="Calibri" w:cs="Calibri" w:eastAsia="Calibri" w:hAnsi="Calibri"/>
                <w:b/>
                <w:bCs/>
                <w:i w:val="false"/>
                <w:iCs w:val="false"/>
                <w:color w:val="1B2A4A"/>
                <w:sz w:val="18"/>
                <w:szCs w:val="18"/>
              </w:rPr>
              <w:t xml:space="preserve">Engr. Norton Ned Jessup, P.E.</w:t>
            </w:r>
          </w:p>
          <w:p>
            <w:pPr>
              <w:spacing w:after="40"/>
              <w:jc w:val="center"/>
            </w:pPr>
            <w:r>
              <w:rPr>
                <w:rFonts w:ascii="Calibri" w:cs="Calibri" w:eastAsia="Calibri" w:hAnsi="Calibri"/>
                <w:b w:val="false"/>
                <w:bCs w:val="false"/>
                <w:i/>
                <w:iCs/>
                <w:color w:val="1A1A1A"/>
                <w:sz w:val="15"/>
                <w:szCs w:val="15"/>
              </w:rPr>
              <w:t xml:space="preserve">Chief Operating Officer / Executive Director &amp; Project Director</w:t>
            </w:r>
          </w:p>
        </w:tc>
        <w:tc>
          <w:tcPr>
            <w:tcW w:type="dxa" w:w="3100"/>
            <w:shd w:fill="FFFFFF" w:val="clear"/>
            <w:tcMar>
              <w:top w:type="dxa" w:w="700"/>
              <w:left w:type="dxa" w:w="120"/>
              <w:bottom w:type="dxa" w:w="200"/>
              <w:right w:type="dxa" w:w="120"/>
            </w:tcMar>
            <w:vAlign w:val="center"/>
          </w:tcPr>
          <w:p>
            <w:pPr>
              <w:spacing w:after="40"/>
              <w:jc w:val="center"/>
            </w:pPr>
            <w:r>
              <w:rPr>
                <w:rFonts w:ascii="Calibri" w:cs="Calibri" w:eastAsia="Calibri" w:hAnsi="Calibri"/>
                <w:b/>
                <w:bCs/>
                <w:i w:val="false"/>
                <w:iCs w:val="false"/>
                <w:color w:val="1B2A4A"/>
                <w:sz w:val="18"/>
                <w:szCs w:val="18"/>
              </w:rPr>
              <w:t xml:space="preserve">WT/MI</w:t>
            </w:r>
          </w:p>
          <w:p>
            <w:pPr>
              <w:spacing w:after="40"/>
              <w:jc w:val="center"/>
            </w:pPr>
            <w:r>
              <w:rPr>
                <w:rFonts w:ascii="Calibri" w:cs="Calibri" w:eastAsia="Calibri" w:hAnsi="Calibri"/>
                <w:b w:val="false"/>
                <w:bCs w:val="false"/>
                <w:i/>
                <w:iCs/>
                <w:color w:val="1A1A1A"/>
                <w:sz w:val="15"/>
                <w:szCs w:val="15"/>
              </w:rPr>
              <w:t xml:space="preserve">Checker</w:t>
            </w:r>
          </w:p>
        </w:tc>
        <w:tc>
          <w:tcPr>
            <w:tcW w:type="dxa" w:w="3100"/>
            <w:shd w:fill="FFFFFF" w:val="clear"/>
            <w:tcMar>
              <w:top w:type="dxa" w:w="700"/>
              <w:left w:type="dxa" w:w="120"/>
              <w:bottom w:type="dxa" w:w="200"/>
              <w:right w:type="dxa" w:w="120"/>
            </w:tcMar>
            <w:vAlign w:val="center"/>
          </w:tcPr>
          <w:p>
            <w:pPr>
              <w:spacing w:after="40"/>
              <w:jc w:val="center"/>
            </w:pPr>
            <w:r>
              <w:rPr>
                <w:rFonts w:ascii="Calibri" w:cs="Calibri" w:eastAsia="Calibri" w:hAnsi="Calibri"/>
                <w:b/>
                <w:bCs/>
                <w:i w:val="false"/>
                <w:iCs w:val="false"/>
                <w:color w:val="1B2A4A"/>
                <w:sz w:val="18"/>
                <w:szCs w:val="18"/>
              </w:rPr>
              <w:t xml:space="preserve">Gliffeth Wonuigwe</w:t>
            </w:r>
          </w:p>
          <w:p>
            <w:pPr>
              <w:spacing w:after="40"/>
              <w:jc w:val="center"/>
            </w:pPr>
            <w:r>
              <w:rPr>
                <w:rFonts w:ascii="Calibri" w:cs="Calibri" w:eastAsia="Calibri" w:hAnsi="Calibri"/>
                <w:b w:val="false"/>
                <w:bCs w:val="false"/>
                <w:i/>
                <w:iCs/>
                <w:color w:val="1A1A1A"/>
                <w:sz w:val="15"/>
                <w:szCs w:val="15"/>
              </w:rPr>
              <w:t xml:space="preserve">Group Chief Executive Officer / Managing Director</w:t>
            </w:r>
          </w:p>
        </w:tc>
        <w:tc>
          <w:tcPr>
            <w:tcW w:type="dxa" w:w="1800"/>
            <w:tcBorders>
              <w:top w:val="dashed" w:color="9AA5B1" w:sz="6"/>
              <w:left w:val="dashed" w:color="9AA5B1" w:sz="6"/>
              <w:bottom w:val="dashed" w:color="9AA5B1" w:sz="6"/>
              <w:right w:val="dashed" w:color="9AA5B1" w:sz="6"/>
            </w:tcBorders>
            <w:shd w:fill="FFFFFF" w:val="clear"/>
            <w:tcMar>
              <w:top w:type="dxa" w:w="700"/>
              <w:left w:type="dxa" w:w="120"/>
              <w:bottom w:type="dxa" w:w="200"/>
              <w:right w:type="dxa" w:w="120"/>
            </w:tcMar>
            <w:vAlign w:val="center"/>
          </w:tcPr>
          <w:p>
            <w:pPr>
              <w:spacing w:after="30"/>
              <w:jc w:val="center"/>
            </w:pPr>
            <w:r>
              <w:rPr>
                <w:rFonts w:ascii="Calibri" w:cs="Calibri" w:eastAsia="Calibri" w:hAnsi="Calibri"/>
                <w:i/>
                <w:iCs/>
                <w:color w:val="8A94A3"/>
                <w:sz w:val="15"/>
                <w:szCs w:val="15"/>
              </w:rPr>
              <w:t xml:space="preserve">[Insert Signature]</w:t>
            </w:r>
          </w:p>
          <w:p>
            <w:pPr>
              <w:spacing w:after="0"/>
              <w:jc w:val="center"/>
            </w:pPr>
            <w:r>
              <w:rPr>
                <w:rFonts w:ascii="Calibri" w:cs="Calibri" w:eastAsia="Calibri" w:hAnsi="Calibri"/>
                <w:i/>
                <w:iCs/>
                <w:color w:val="8A94A3"/>
                <w:sz w:val="15"/>
                <w:szCs w:val="15"/>
              </w:rPr>
              <w:t xml:space="preserve">Date: __________</w:t>
            </w:r>
          </w:p>
        </w:tc>
      </w:tr>
    </w:tbl>
    <w:p>
      <w:r>
        <w:br w:type="page"/>
      </w:r>
    </w:p>
    <w:p>
      <w:pPr>
        <w:pStyle w:val="Heading1"/>
        <w:pBdr>
          <w:bottom w:val="single" w:color="0F6C6C" w:sz="8" w:space="4"/>
        </w:pBdr>
        <w:spacing w:after="160" w:before="360"/>
      </w:pPr>
      <w:r>
        <w:rPr>
          <w:rFonts w:ascii="Calibri" w:cs="Calibri" w:eastAsia="Calibri" w:hAnsi="Calibri"/>
          <w:b/>
          <w:bCs/>
          <w:color w:val="1B2A4A"/>
          <w:sz w:val="28"/>
          <w:szCs w:val="28"/>
        </w:rPr>
        <w:t xml:space="preserve">Table of Contents</w:t>
      </w:r>
    </w:p>
    <w:p>
      <w:pPr>
        <w:tabs>
          <w:tab w:val="right" w:pos="9026" w:leader="dot"/>
        </w:tabs>
        <w:spacing w:after="130"/>
      </w:pPr>
      <w:r>
        <w:rPr>
          <w:rFonts w:ascii="Calibri" w:cs="Calibri" w:eastAsia="Calibri" w:hAnsi="Calibri"/>
          <w:color w:val="1A1A1A"/>
          <w:sz w:val="21"/>
          <w:szCs w:val="21"/>
        </w:rPr>
        <w:t xml:space="preserve">0.0  Document Control</w:t>
      </w:r>
      <w:r>
        <w:rPr>
          <w:rFonts w:ascii="Calibri" w:cs="Calibri" w:eastAsia="Calibri" w:hAnsi="Calibri"/>
          <w:color w:val="1A1A1A"/>
          <w:sz w:val="21"/>
          <w:szCs w:val="21"/>
        </w:rPr>
        <w:t xml:space="preserve">	2</w:t>
      </w:r>
    </w:p>
    <w:p>
      <w:pPr>
        <w:tabs>
          <w:tab w:val="right" w:pos="9026" w:leader="dot"/>
        </w:tabs>
        <w:spacing w:after="130"/>
      </w:pPr>
      <w:r>
        <w:rPr>
          <w:rFonts w:ascii="Calibri" w:cs="Calibri" w:eastAsia="Calibri" w:hAnsi="Calibri"/>
          <w:color w:val="1A1A1A"/>
          <w:sz w:val="21"/>
          <w:szCs w:val="21"/>
        </w:rPr>
        <w:t xml:space="preserve">1.0  Introduction &amp; Purpose</w:t>
      </w:r>
      <w:r>
        <w:rPr>
          <w:rFonts w:ascii="Calibri" w:cs="Calibri" w:eastAsia="Calibri" w:hAnsi="Calibri"/>
          <w:color w:val="1A1A1A"/>
          <w:sz w:val="21"/>
          <w:szCs w:val="21"/>
        </w:rPr>
        <w:t xml:space="preserve">	4</w:t>
      </w:r>
    </w:p>
    <w:p>
      <w:pPr>
        <w:tabs>
          <w:tab w:val="right" w:pos="9026" w:leader="dot"/>
        </w:tabs>
        <w:spacing w:after="130"/>
      </w:pPr>
      <w:r>
        <w:rPr>
          <w:rFonts w:ascii="Calibri" w:cs="Calibri" w:eastAsia="Calibri" w:hAnsi="Calibri"/>
          <w:color w:val="1A1A1A"/>
          <w:sz w:val="21"/>
          <w:szCs w:val="21"/>
        </w:rPr>
        <w:t xml:space="preserve">2.0  Scope &amp; Applicability</w:t>
      </w:r>
      <w:r>
        <w:rPr>
          <w:rFonts w:ascii="Calibri" w:cs="Calibri" w:eastAsia="Calibri" w:hAnsi="Calibri"/>
          <w:color w:val="1A1A1A"/>
          <w:sz w:val="21"/>
          <w:szCs w:val="21"/>
        </w:rPr>
        <w:t xml:space="preserve">	4</w:t>
      </w:r>
    </w:p>
    <w:p>
      <w:pPr>
        <w:tabs>
          <w:tab w:val="right" w:pos="9026" w:leader="dot"/>
        </w:tabs>
        <w:spacing w:after="130"/>
      </w:pPr>
      <w:r>
        <w:rPr>
          <w:rFonts w:ascii="Calibri" w:cs="Calibri" w:eastAsia="Calibri" w:hAnsi="Calibri"/>
          <w:color w:val="1A1A1A"/>
          <w:sz w:val="21"/>
          <w:szCs w:val="21"/>
        </w:rPr>
        <w:t xml:space="preserve">3.0  Definitions &amp; Abbreviations</w:t>
      </w:r>
      <w:r>
        <w:rPr>
          <w:rFonts w:ascii="Calibri" w:cs="Calibri" w:eastAsia="Calibri" w:hAnsi="Calibri"/>
          <w:color w:val="1A1A1A"/>
          <w:sz w:val="21"/>
          <w:szCs w:val="21"/>
        </w:rPr>
        <w:t xml:space="preserve">	4</w:t>
      </w:r>
    </w:p>
    <w:p>
      <w:pPr>
        <w:tabs>
          <w:tab w:val="right" w:pos="9026" w:leader="dot"/>
        </w:tabs>
        <w:spacing w:after="130"/>
      </w:pPr>
      <w:r>
        <w:rPr>
          <w:rFonts w:ascii="Calibri" w:cs="Calibri" w:eastAsia="Calibri" w:hAnsi="Calibri"/>
          <w:color w:val="1A1A1A"/>
          <w:sz w:val="21"/>
          <w:szCs w:val="21"/>
        </w:rPr>
        <w:t xml:space="preserve">4.0  Audit Programme &amp; Types</w:t>
      </w:r>
      <w:r>
        <w:rPr>
          <w:rFonts w:ascii="Calibri" w:cs="Calibri" w:eastAsia="Calibri" w:hAnsi="Calibri"/>
          <w:color w:val="1A1A1A"/>
          <w:sz w:val="21"/>
          <w:szCs w:val="21"/>
        </w:rPr>
        <w:t xml:space="preserve">	5</w:t>
      </w:r>
    </w:p>
    <w:p>
      <w:pPr>
        <w:tabs>
          <w:tab w:val="right" w:pos="9026" w:leader="dot"/>
        </w:tabs>
        <w:spacing w:after="130"/>
      </w:pPr>
      <w:r>
        <w:rPr>
          <w:rFonts w:ascii="Calibri" w:cs="Calibri" w:eastAsia="Calibri" w:hAnsi="Calibri"/>
          <w:color w:val="1A1A1A"/>
          <w:sz w:val="21"/>
          <w:szCs w:val="21"/>
        </w:rPr>
        <w:t xml:space="preserve">5.0  Auditor Competency &amp; Independence</w:t>
      </w:r>
      <w:r>
        <w:rPr>
          <w:rFonts w:ascii="Calibri" w:cs="Calibri" w:eastAsia="Calibri" w:hAnsi="Calibri"/>
          <w:color w:val="1A1A1A"/>
          <w:sz w:val="21"/>
          <w:szCs w:val="21"/>
        </w:rPr>
        <w:t xml:space="preserve">	5</w:t>
      </w:r>
    </w:p>
    <w:p>
      <w:pPr>
        <w:tabs>
          <w:tab w:val="right" w:pos="9026" w:leader="dot"/>
        </w:tabs>
        <w:spacing w:after="130"/>
      </w:pPr>
      <w:r>
        <w:rPr>
          <w:rFonts w:ascii="Calibri" w:cs="Calibri" w:eastAsia="Calibri" w:hAnsi="Calibri"/>
          <w:color w:val="1A1A1A"/>
          <w:sz w:val="21"/>
          <w:szCs w:val="21"/>
        </w:rPr>
        <w:t xml:space="preserve">6.0  Audit Process</w:t>
      </w:r>
      <w:r>
        <w:rPr>
          <w:rFonts w:ascii="Calibri" w:cs="Calibri" w:eastAsia="Calibri" w:hAnsi="Calibri"/>
          <w:color w:val="1A1A1A"/>
          <w:sz w:val="21"/>
          <w:szCs w:val="21"/>
        </w:rPr>
        <w:t xml:space="preserve">	6</w:t>
      </w:r>
    </w:p>
    <w:p>
      <w:pPr>
        <w:tabs>
          <w:tab w:val="right" w:pos="9026" w:leader="dot"/>
        </w:tabs>
        <w:spacing w:after="130"/>
      </w:pPr>
      <w:r>
        <w:rPr>
          <w:rFonts w:ascii="Calibri" w:cs="Calibri" w:eastAsia="Calibri" w:hAnsi="Calibri"/>
          <w:color w:val="1A1A1A"/>
          <w:sz w:val="21"/>
          <w:szCs w:val="21"/>
        </w:rPr>
        <w:t xml:space="preserve">7.0  Inspection Programme &amp; Types</w:t>
      </w:r>
      <w:r>
        <w:rPr>
          <w:rFonts w:ascii="Calibri" w:cs="Calibri" w:eastAsia="Calibri" w:hAnsi="Calibri"/>
          <w:color w:val="1A1A1A"/>
          <w:sz w:val="21"/>
          <w:szCs w:val="21"/>
        </w:rPr>
        <w:t xml:space="preserve">	7</w:t>
      </w:r>
    </w:p>
    <w:p>
      <w:pPr>
        <w:tabs>
          <w:tab w:val="right" w:pos="9026" w:leader="dot"/>
        </w:tabs>
        <w:spacing w:after="130"/>
      </w:pPr>
      <w:r>
        <w:rPr>
          <w:rFonts w:ascii="Calibri" w:cs="Calibri" w:eastAsia="Calibri" w:hAnsi="Calibri"/>
          <w:color w:val="1A1A1A"/>
          <w:sz w:val="21"/>
          <w:szCs w:val="21"/>
        </w:rPr>
        <w:t xml:space="preserve">8.0  Inspection Checklists &amp; Frequency</w:t>
      </w:r>
      <w:r>
        <w:rPr>
          <w:rFonts w:ascii="Calibri" w:cs="Calibri" w:eastAsia="Calibri" w:hAnsi="Calibri"/>
          <w:color w:val="1A1A1A"/>
          <w:sz w:val="21"/>
          <w:szCs w:val="21"/>
        </w:rPr>
        <w:t xml:space="preserve">	7</w:t>
      </w:r>
    </w:p>
    <w:p>
      <w:pPr>
        <w:tabs>
          <w:tab w:val="right" w:pos="9026" w:leader="dot"/>
        </w:tabs>
        <w:spacing w:after="130"/>
      </w:pPr>
      <w:r>
        <w:rPr>
          <w:rFonts w:ascii="Calibri" w:cs="Calibri" w:eastAsia="Calibri" w:hAnsi="Calibri"/>
          <w:color w:val="1A1A1A"/>
          <w:sz w:val="21"/>
          <w:szCs w:val="21"/>
        </w:rPr>
        <w:t xml:space="preserve">9.0  Findings, Non-Conformance &amp; Corrective Action</w:t>
      </w:r>
      <w:r>
        <w:rPr>
          <w:rFonts w:ascii="Calibri" w:cs="Calibri" w:eastAsia="Calibri" w:hAnsi="Calibri"/>
          <w:color w:val="1A1A1A"/>
          <w:sz w:val="21"/>
          <w:szCs w:val="21"/>
        </w:rPr>
        <w:t xml:space="preserve">	9</w:t>
      </w:r>
    </w:p>
    <w:p>
      <w:pPr>
        <w:tabs>
          <w:tab w:val="right" w:pos="9026" w:leader="dot"/>
        </w:tabs>
        <w:spacing w:after="130"/>
      </w:pPr>
      <w:r>
        <w:rPr>
          <w:rFonts w:ascii="Calibri" w:cs="Calibri" w:eastAsia="Calibri" w:hAnsi="Calibri"/>
          <w:color w:val="1A1A1A"/>
          <w:sz w:val="21"/>
          <w:szCs w:val="21"/>
        </w:rPr>
        <w:t xml:space="preserve">10.0  Records &amp; Retention</w:t>
      </w:r>
      <w:r>
        <w:rPr>
          <w:rFonts w:ascii="Calibri" w:cs="Calibri" w:eastAsia="Calibri" w:hAnsi="Calibri"/>
          <w:color w:val="1A1A1A"/>
          <w:sz w:val="21"/>
          <w:szCs w:val="21"/>
        </w:rPr>
        <w:t xml:space="preserve">	9</w:t>
      </w:r>
    </w:p>
    <w:p>
      <w:pPr>
        <w:tabs>
          <w:tab w:val="right" w:pos="9026" w:leader="dot"/>
        </w:tabs>
        <w:spacing w:after="130"/>
      </w:pPr>
      <w:r>
        <w:rPr>
          <w:rFonts w:ascii="Calibri" w:cs="Calibri" w:eastAsia="Calibri" w:hAnsi="Calibri"/>
          <w:color w:val="1A1A1A"/>
          <w:sz w:val="21"/>
          <w:szCs w:val="21"/>
        </w:rPr>
        <w:t xml:space="preserve">11.0  Roles &amp; Responsibilities</w:t>
      </w:r>
      <w:r>
        <w:rPr>
          <w:rFonts w:ascii="Calibri" w:cs="Calibri" w:eastAsia="Calibri" w:hAnsi="Calibri"/>
          <w:color w:val="1A1A1A"/>
          <w:sz w:val="21"/>
          <w:szCs w:val="21"/>
        </w:rPr>
        <w:t xml:space="preserve">	9</w:t>
      </w:r>
    </w:p>
    <w:p>
      <w:pPr>
        <w:tabs>
          <w:tab w:val="right" w:pos="9026" w:leader="dot"/>
        </w:tabs>
        <w:spacing w:after="130"/>
      </w:pPr>
      <w:r>
        <w:rPr>
          <w:rFonts w:ascii="Calibri" w:cs="Calibri" w:eastAsia="Calibri" w:hAnsi="Calibri"/>
          <w:color w:val="1A1A1A"/>
          <w:sz w:val="21"/>
          <w:szCs w:val="21"/>
        </w:rPr>
        <w:t xml:space="preserve">12.0  Approval</w:t>
      </w:r>
      <w:r>
        <w:rPr>
          <w:rFonts w:ascii="Calibri" w:cs="Calibri" w:eastAsia="Calibri" w:hAnsi="Calibri"/>
          <w:color w:val="1A1A1A"/>
          <w:sz w:val="21"/>
          <w:szCs w:val="21"/>
        </w:rPr>
        <w:t xml:space="preserve">	10</w:t>
      </w:r>
    </w:p>
    <w:p>
      <w:r>
        <w:br w:type="page"/>
      </w:r>
    </w:p>
    <w:p>
      <w:pPr>
        <w:pStyle w:val="Heading1"/>
        <w:pBdr>
          <w:bottom w:val="single" w:color="0F6C6C" w:sz="8" w:space="4"/>
        </w:pBdr>
        <w:spacing w:after="160" w:before="360"/>
      </w:pPr>
      <w:r>
        <w:rPr>
          <w:rFonts w:ascii="Calibri" w:cs="Calibri" w:eastAsia="Calibri" w:hAnsi="Calibri"/>
          <w:b/>
          <w:bCs/>
          <w:color w:val="1B2A4A"/>
          <w:sz w:val="28"/>
          <w:szCs w:val="28"/>
        </w:rPr>
        <w:t xml:space="preserve">1.0  Introduction &amp; Purpose</w:t>
      </w:r>
    </w:p>
    <w:p>
      <w:pPr>
        <w:spacing w:after="120"/>
      </w:pPr>
      <w:r>
        <w:rPr>
          <w:rFonts w:ascii="Calibri" w:cs="Calibri" w:eastAsia="Calibri" w:hAnsi="Calibri"/>
          <w:color w:val="1A1A1A"/>
          <w:sz w:val="20"/>
          <w:szCs w:val="20"/>
        </w:rPr>
        <w:t xml:space="preserve">This procedure establishes South West Design Africa Limited's (SWDA) HSE Audit &amp; Inspection Programme, defining how audits and inspections are planned, conducted, reported and closed out across SWDA's operations. It applies the audit and inspection requirements of the SWDA HSE Management System (HSE-MS Section 4.7) and Quality Management System (QMS Sections 7.0–8.0), and is written to be applied consistently across SWDA's project portfolio – including the active Renaissance 18-Tank ATC/NME Project and past engagements such as the Front Puffin FPSO, Utorogu Well Intervention campaigns, and the Chevron Agbami FPSO 4th Campaign.</w:t>
      </w:r>
    </w:p>
    <w:p>
      <w:pPr>
        <w:spacing w:after="120"/>
      </w:pPr>
      <w:r>
        <w:rPr>
          <w:rFonts w:ascii="Calibri" w:cs="Calibri" w:eastAsia="Calibri" w:hAnsi="Calibri"/>
          <w:color w:val="1A1A1A"/>
          <w:sz w:val="20"/>
          <w:szCs w:val="20"/>
        </w:rPr>
        <w:t xml:space="preserve">The purpose of this procedure is to verify the effectiveness of SWDA's management systems, confirm ongoing compliance with legislation, regulations, client requirements and international standards, and to identify and drive closure of non-conformances and improvement opportunities before they result in harm, loss, or quality failure.</w:t>
      </w:r>
    </w:p>
    <w:p>
      <w:pPr>
        <w:pStyle w:val="Heading1"/>
        <w:pBdr>
          <w:bottom w:val="single" w:color="0F6C6C" w:sz="8" w:space="4"/>
        </w:pBdr>
        <w:spacing w:after="160" w:before="360"/>
      </w:pPr>
      <w:r>
        <w:rPr>
          <w:rFonts w:ascii="Calibri" w:cs="Calibri" w:eastAsia="Calibri" w:hAnsi="Calibri"/>
          <w:b/>
          <w:bCs/>
          <w:color w:val="1B2A4A"/>
          <w:sz w:val="28"/>
          <w:szCs w:val="28"/>
        </w:rPr>
        <w:t xml:space="preserve">2.0  Scope &amp; Applicability</w:t>
      </w:r>
    </w:p>
    <w:p>
      <w:pPr>
        <w:spacing w:after="120"/>
      </w:pPr>
      <w:r>
        <w:rPr>
          <w:rFonts w:ascii="Calibri" w:cs="Calibri" w:eastAsia="Calibri" w:hAnsi="Calibri"/>
          <w:color w:val="1A1A1A"/>
          <w:sz w:val="20"/>
          <w:szCs w:val="20"/>
        </w:rPr>
        <w:t xml:space="preserve">This procedure applies to all SWDA personnel, subcontractors and vendors, and covers:</w:t>
      </w:r>
    </w:p>
    <w:p>
      <w:pPr>
        <w:pStyle w:val="ListParagraph"/>
        <w:numPr>
          <w:ilvl w:val="0"/>
          <w:numId w:val="2"/>
        </w:numPr>
        <w:spacing w:after="80"/>
      </w:pPr>
      <w:r>
        <w:rPr>
          <w:rFonts w:ascii="Calibri" w:cs="Calibri" w:eastAsia="Calibri" w:hAnsi="Calibri"/>
          <w:color w:val="1A1A1A"/>
          <w:sz w:val="20"/>
          <w:szCs w:val="20"/>
        </w:rPr>
        <w:t xml:space="preserve">HSE-MS Audits, ISO 14001 Audits (where applicable), Independent Audits, and Specific Activity Audits;</w:t>
      </w:r>
    </w:p>
    <w:p>
      <w:pPr>
        <w:pStyle w:val="ListParagraph"/>
        <w:numPr>
          <w:ilvl w:val="0"/>
          <w:numId w:val="2"/>
        </w:numPr>
        <w:spacing w:after="80"/>
      </w:pPr>
      <w:r>
        <w:rPr>
          <w:rFonts w:ascii="Calibri" w:cs="Calibri" w:eastAsia="Calibri" w:hAnsi="Calibri"/>
          <w:color w:val="1A1A1A"/>
          <w:sz w:val="20"/>
          <w:szCs w:val="20"/>
        </w:rPr>
        <w:t xml:space="preserve">Internal Quality Audits, Internal Subcontractor Audits, and External Client Audits under the QMS;</w:t>
      </w:r>
    </w:p>
    <w:p>
      <w:pPr>
        <w:pStyle w:val="ListParagraph"/>
        <w:numPr>
          <w:ilvl w:val="0"/>
          <w:numId w:val="2"/>
        </w:numPr>
        <w:spacing w:after="80"/>
      </w:pPr>
      <w:r>
        <w:rPr>
          <w:rFonts w:ascii="Calibri" w:cs="Calibri" w:eastAsia="Calibri" w:hAnsi="Calibri"/>
          <w:color w:val="1A1A1A"/>
          <w:sz w:val="20"/>
          <w:szCs w:val="20"/>
        </w:rPr>
        <w:t xml:space="preserve">Site and equipment HSE inspections (daily, weekly, monthly and pre-mobilisation);</w:t>
      </w:r>
    </w:p>
    <w:p>
      <w:pPr>
        <w:pStyle w:val="ListParagraph"/>
        <w:numPr>
          <w:ilvl w:val="0"/>
          <w:numId w:val="2"/>
        </w:numPr>
        <w:spacing w:after="80"/>
      </w:pPr>
      <w:r>
        <w:rPr>
          <w:rFonts w:ascii="Calibri" w:cs="Calibri" w:eastAsia="Calibri" w:hAnsi="Calibri"/>
          <w:color w:val="1A1A1A"/>
          <w:sz w:val="20"/>
          <w:szCs w:val="20"/>
        </w:rPr>
        <w:t xml:space="preserve">Product/service monitoring inspections – receiving inspection, job set-up verification, in-process inspection, and final inspection &amp; test.</w:t>
      </w:r>
    </w:p>
    <w:p>
      <w:pPr>
        <w:spacing w:after="120"/>
      </w:pPr>
      <w:r>
        <w:rPr>
          <w:rFonts w:ascii="Calibri" w:cs="Calibri" w:eastAsia="Calibri" w:hAnsi="Calibri"/>
          <w:color w:val="1A1A1A"/>
          <w:sz w:val="20"/>
          <w:szCs w:val="20"/>
        </w:rPr>
        <w:t xml:space="preserve">This procedure interfaces directly with the SWDA Permit to Work (PTW) System, the Project Action Tracking Register, and the Training Plan &amp; Competency Matrix (auditor/inspector competency requirements).</w:t>
      </w:r>
    </w:p>
    <w:p>
      <w:pPr>
        <w:pStyle w:val="Heading1"/>
        <w:pBdr>
          <w:bottom w:val="single" w:color="0F6C6C" w:sz="8" w:space="4"/>
        </w:pBdr>
        <w:spacing w:after="160" w:before="360"/>
      </w:pPr>
      <w:r>
        <w:rPr>
          <w:rFonts w:ascii="Calibri" w:cs="Calibri" w:eastAsia="Calibri" w:hAnsi="Calibri"/>
          <w:b/>
          <w:bCs/>
          <w:color w:val="1B2A4A"/>
          <w:sz w:val="28"/>
          <w:szCs w:val="28"/>
        </w:rPr>
        <w:t xml:space="preserve">3.0  Definitions &amp; Abbreviations</w:t>
      </w:r>
    </w:p>
    <w:tbl>
      <w:tblPr>
        <w:tblW w:type="dxa" w:w="11000"/>
        <w:tblBorders>
          <w:top w:val="single" w:color="auto" w:sz="4"/>
          <w:left w:val="single" w:color="auto" w:sz="4"/>
          <w:bottom w:val="single" w:color="auto" w:sz="4"/>
          <w:right w:val="single" w:color="auto" w:sz="4"/>
          <w:insideH w:val="single" w:color="auto" w:sz="4"/>
          <w:insideV w:val="single" w:color="auto" w:sz="4"/>
        </w:tblBorders>
      </w:tblPr>
      <w:tblGrid>
        <w:gridCol w:w="2600"/>
        <w:gridCol w:w="8400"/>
      </w:tblGrid>
      <w:tr>
        <w:trPr>
          <w:tblHeader/>
        </w:trPr>
        <w:tc>
          <w:tcPr>
            <w:tcW w:type="dxa" w:w="26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Term</w:t>
            </w:r>
          </w:p>
        </w:tc>
        <w:tc>
          <w:tcPr>
            <w:tcW w:type="dxa" w:w="84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Definition</w:t>
            </w:r>
          </w:p>
        </w:tc>
      </w:tr>
      <w:tr>
        <w:tc>
          <w:tcPr>
            <w:tcW w:type="dxa" w:w="26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Audit</w:t>
            </w:r>
          </w:p>
        </w:tc>
        <w:tc>
          <w:tcPr>
            <w:tcW w:type="dxa" w:w="84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A systematic, independent and documented process for obtaining evidence and evaluating it objectively to determine the extent to which audit criteria (HSE-MS, QMS, regulatory or contractual requirements) are fulfilled.</w:t>
            </w:r>
          </w:p>
        </w:tc>
      </w:tr>
      <w:tr>
        <w:tc>
          <w:tcPr>
            <w:tcW w:type="dxa" w:w="2600"/>
            <w:shd w:fill="E8F2F1"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Inspection</w:t>
            </w:r>
          </w:p>
        </w:tc>
        <w:tc>
          <w:tcPr>
            <w:tcW w:type="dxa" w:w="84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A planned, often more frequent, examination of a workplace, activity, equipment or document against defined acceptance criteria, typically conducted by site-based personnel rather than an independent audit team.</w:t>
            </w:r>
          </w:p>
        </w:tc>
      </w:tr>
      <w:tr>
        <w:tc>
          <w:tcPr>
            <w:tcW w:type="dxa" w:w="26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Lead Auditor</w:t>
            </w:r>
          </w:p>
        </w:tc>
        <w:tc>
          <w:tcPr>
            <w:tcW w:type="dxa" w:w="84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The individual assigned overall responsibility for planning, conducting and reporting a specific audit, and for coordinating the audit team.</w:t>
            </w:r>
          </w:p>
        </w:tc>
      </w:tr>
      <w:tr>
        <w:tc>
          <w:tcPr>
            <w:tcW w:type="dxa" w:w="2600"/>
            <w:shd w:fill="E8F2F1"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Auditee</w:t>
            </w:r>
          </w:p>
        </w:tc>
        <w:tc>
          <w:tcPr>
            <w:tcW w:type="dxa" w:w="84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The individual, team, department, site or subcontractor whose activities, records or facilities are subject to audit or inspection.</w:t>
            </w:r>
          </w:p>
        </w:tc>
      </w:tr>
      <w:tr>
        <w:tc>
          <w:tcPr>
            <w:tcW w:type="dxa" w:w="26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Non-Conformance Report (NCR)</w:t>
            </w:r>
          </w:p>
        </w:tc>
        <w:tc>
          <w:tcPr>
            <w:tcW w:type="dxa" w:w="84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A documented record of a finding where specified requirements have not been met, raised in accordance with the Non-Conformance Control Procedure.</w:t>
            </w:r>
          </w:p>
        </w:tc>
      </w:tr>
      <w:tr>
        <w:tc>
          <w:tcPr>
            <w:tcW w:type="dxa" w:w="2600"/>
            <w:shd w:fill="E8F2F1"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Corrective Action</w:t>
            </w:r>
          </w:p>
        </w:tc>
        <w:tc>
          <w:tcPr>
            <w:tcW w:type="dxa" w:w="84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Action taken to eliminate the cause of a detected non-conformance or other undesirable situation, to prevent recurrence.</w:t>
            </w:r>
          </w:p>
        </w:tc>
      </w:tr>
      <w:tr>
        <w:tc>
          <w:tcPr>
            <w:tcW w:type="dxa" w:w="26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Preventive Action</w:t>
            </w:r>
          </w:p>
        </w:tc>
        <w:tc>
          <w:tcPr>
            <w:tcW w:type="dxa" w:w="84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Action taken to eliminate the cause of a potential non-conformance or other undesirable potential situation, to prevent occurrence.</w:t>
            </w:r>
          </w:p>
        </w:tc>
      </w:tr>
      <w:tr>
        <w:tc>
          <w:tcPr>
            <w:tcW w:type="dxa" w:w="2600"/>
            <w:shd w:fill="E8F2F1"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HSE Issue Review Process</w:t>
            </w:r>
          </w:p>
        </w:tc>
        <w:tc>
          <w:tcPr>
            <w:tcW w:type="dxa" w:w="84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The internal process by which HSE audit findings of non-conformance are resolved, with Corrective Actions proportionate to the magnitude of the problem and the risk encountered.</w:t>
            </w:r>
          </w:p>
        </w:tc>
      </w:tr>
    </w:tbl>
    <w:p>
      <w:r>
        <w:br w:type="page"/>
      </w:r>
    </w:p>
    <w:p>
      <w:pPr>
        <w:pStyle w:val="Heading1"/>
        <w:pBdr>
          <w:bottom w:val="single" w:color="0F6C6C" w:sz="8" w:space="4"/>
        </w:pBdr>
        <w:spacing w:after="160" w:before="360"/>
      </w:pPr>
      <w:r>
        <w:rPr>
          <w:rFonts w:ascii="Calibri" w:cs="Calibri" w:eastAsia="Calibri" w:hAnsi="Calibri"/>
          <w:b/>
          <w:bCs/>
          <w:color w:val="1B2A4A"/>
          <w:sz w:val="28"/>
          <w:szCs w:val="28"/>
        </w:rPr>
        <w:t xml:space="preserve">4.0  Audit Programme &amp; Types</w:t>
      </w:r>
    </w:p>
    <w:p>
      <w:pPr>
        <w:pStyle w:val="Heading2"/>
        <w:spacing w:after="120" w:before="280"/>
      </w:pPr>
      <w:r>
        <w:rPr>
          <w:rFonts w:ascii="Calibri" w:cs="Calibri" w:eastAsia="Calibri" w:hAnsi="Calibri"/>
          <w:b/>
          <w:bCs/>
          <w:color w:val="0F6C6C"/>
          <w:sz w:val="24"/>
          <w:szCs w:val="24"/>
        </w:rPr>
        <w:t xml:space="preserve">4.1  Annual Audit Plan</w:t>
      </w:r>
    </w:p>
    <w:p>
      <w:pPr>
        <w:spacing w:after="120"/>
      </w:pPr>
      <w:r>
        <w:rPr>
          <w:rFonts w:ascii="Calibri" w:cs="Calibri" w:eastAsia="Calibri" w:hAnsi="Calibri"/>
          <w:color w:val="1A1A1A"/>
          <w:sz w:val="20"/>
          <w:szCs w:val="20"/>
        </w:rPr>
        <w:t xml:space="preserve">SWDA establishes and maintains a one-year Audit Plan covering HSE audits of all facilities and operations on a fixed time scale appropriate to the facility and the risks associated with the activity. The Annual Audit Plan covers the whole HSE-MS, including operations and projects that have been contracted out.</w:t>
      </w:r>
    </w:p>
    <w:p>
      <w:pPr>
        <w:pStyle w:val="Heading2"/>
        <w:spacing w:after="120" w:before="280"/>
      </w:pPr>
      <w:r>
        <w:rPr>
          <w:rFonts w:ascii="Calibri" w:cs="Calibri" w:eastAsia="Calibri" w:hAnsi="Calibri"/>
          <w:b/>
          <w:bCs/>
          <w:color w:val="0F6C6C"/>
          <w:sz w:val="24"/>
          <w:szCs w:val="24"/>
        </w:rPr>
        <w:t xml:space="preserve">4.2  Audit Types</w:t>
      </w:r>
    </w:p>
    <w:tbl>
      <w:tblPr>
        <w:tblW w:type="dxa" w:w="11000"/>
        <w:tblBorders>
          <w:top w:val="single" w:color="auto" w:sz="4"/>
          <w:left w:val="single" w:color="auto" w:sz="4"/>
          <w:bottom w:val="single" w:color="auto" w:sz="4"/>
          <w:right w:val="single" w:color="auto" w:sz="4"/>
          <w:insideH w:val="single" w:color="auto" w:sz="4"/>
          <w:insideV w:val="single" w:color="auto" w:sz="4"/>
        </w:tblBorders>
      </w:tblPr>
      <w:tblGrid>
        <w:gridCol w:w="2400"/>
        <w:gridCol w:w="3400"/>
        <w:gridCol w:w="1800"/>
        <w:gridCol w:w="3400"/>
      </w:tblGrid>
      <w:tr>
        <w:trPr>
          <w:tblHeader/>
        </w:trPr>
        <w:tc>
          <w:tcPr>
            <w:tcW w:type="dxa" w:w="24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Audit Type</w:t>
            </w:r>
          </w:p>
        </w:tc>
        <w:tc>
          <w:tcPr>
            <w:tcW w:type="dxa" w:w="34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Description</w:t>
            </w:r>
          </w:p>
        </w:tc>
        <w:tc>
          <w:tcPr>
            <w:tcW w:type="dxa" w:w="18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Frequency</w:t>
            </w:r>
          </w:p>
        </w:tc>
        <w:tc>
          <w:tcPr>
            <w:tcW w:type="dxa" w:w="34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Led By</w:t>
            </w:r>
          </w:p>
        </w:tc>
      </w:tr>
      <w:tr>
        <w:tc>
          <w:tcPr>
            <w:tcW w:type="dxa" w:w="24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HSE-MS Audit</w:t>
            </w:r>
          </w:p>
        </w:tc>
        <w:tc>
          <w:tcPr>
            <w:tcW w:type="dxa" w:w="34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Reviews and verifies effectiveness of the HSE Management System across facilities and operations, including HSE critical activities.</w:t>
            </w:r>
          </w:p>
        </w:tc>
        <w:tc>
          <w:tcPr>
            <w:tcW w:type="dxa" w:w="18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Annual (min.)</w:t>
            </w:r>
          </w:p>
        </w:tc>
        <w:tc>
          <w:tcPr>
            <w:tcW w:type="dxa" w:w="34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Project HSE Manager / Independent HSE Auditor</w:t>
            </w:r>
          </w:p>
        </w:tc>
      </w:tr>
      <w:tr>
        <w:tc>
          <w:tcPr>
            <w:tcW w:type="dxa" w:w="2400"/>
            <w:shd w:fill="E8F2F1"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ISO 14001 Audit</w:t>
            </w:r>
          </w:p>
        </w:tc>
        <w:tc>
          <w:tcPr>
            <w:tcW w:type="dxa" w:w="34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Environmental management system audit, where applicable to the operation.</w:t>
            </w:r>
          </w:p>
        </w:tc>
        <w:tc>
          <w:tcPr>
            <w:tcW w:type="dxa" w:w="18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Annual</w:t>
            </w:r>
          </w:p>
        </w:tc>
        <w:tc>
          <w:tcPr>
            <w:tcW w:type="dxa" w:w="34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Accredited / Independent Auditor</w:t>
            </w:r>
          </w:p>
        </w:tc>
      </w:tr>
      <w:tr>
        <w:tc>
          <w:tcPr>
            <w:tcW w:type="dxa" w:w="24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Independent Audit</w:t>
            </w:r>
          </w:p>
        </w:tc>
        <w:tc>
          <w:tcPr>
            <w:tcW w:type="dxa" w:w="34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Audit led by an auditor approved by the relevant HSE Advisor on behalf of the Company, independent of the process or facility audited.</w:t>
            </w:r>
          </w:p>
        </w:tc>
        <w:tc>
          <w:tcPr>
            <w:tcW w:type="dxa" w:w="18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Per Annual Audit Plan</w:t>
            </w:r>
          </w:p>
        </w:tc>
        <w:tc>
          <w:tcPr>
            <w:tcW w:type="dxa" w:w="34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Independent Auditor (Company-approved)</w:t>
            </w:r>
          </w:p>
        </w:tc>
      </w:tr>
      <w:tr>
        <w:tc>
          <w:tcPr>
            <w:tcW w:type="dxa" w:w="2400"/>
            <w:shd w:fill="E8F2F1"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Specific Activity Audit</w:t>
            </w:r>
          </w:p>
        </w:tc>
        <w:tc>
          <w:tcPr>
            <w:tcW w:type="dxa" w:w="34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Targeted audit of a facility, start-up activity, drilling, seismic or occupational health activity.</w:t>
            </w:r>
          </w:p>
        </w:tc>
        <w:tc>
          <w:tcPr>
            <w:tcW w:type="dxa" w:w="18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As scheduled / risk-triggered</w:t>
            </w:r>
          </w:p>
        </w:tc>
        <w:tc>
          <w:tcPr>
            <w:tcW w:type="dxa" w:w="34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Assigned Lead Auditor</w:t>
            </w:r>
          </w:p>
        </w:tc>
      </w:tr>
      <w:tr>
        <w:tc>
          <w:tcPr>
            <w:tcW w:type="dxa" w:w="24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Internal Quality Audit</w:t>
            </w:r>
          </w:p>
        </w:tc>
        <w:tc>
          <w:tcPr>
            <w:tcW w:type="dxa" w:w="34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Audit of the Project Quality System to monitor and measure effectiveness and adequacy of implementation.</w:t>
            </w:r>
          </w:p>
        </w:tc>
        <w:tc>
          <w:tcPr>
            <w:tcW w:type="dxa" w:w="18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Per Quality Audit Schedule</w:t>
            </w:r>
          </w:p>
        </w:tc>
        <w:tc>
          <w:tcPr>
            <w:tcW w:type="dxa" w:w="34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QA Superintendent / QA/QC Manager</w:t>
            </w:r>
          </w:p>
        </w:tc>
      </w:tr>
      <w:tr>
        <w:tc>
          <w:tcPr>
            <w:tcW w:type="dxa" w:w="2400"/>
            <w:shd w:fill="E8F2F1"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Internal Subcontractor Audit</w:t>
            </w:r>
          </w:p>
        </w:tc>
        <w:tc>
          <w:tcPr>
            <w:tcW w:type="dxa" w:w="34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Audit of subcontractors and suppliers, and (where independent) of the Project Management Team and supporting disciplines.</w:t>
            </w:r>
          </w:p>
        </w:tc>
        <w:tc>
          <w:tcPr>
            <w:tcW w:type="dxa" w:w="18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Per Project Audit Programme, varies by complexity/location</w:t>
            </w:r>
          </w:p>
        </w:tc>
        <w:tc>
          <w:tcPr>
            <w:tcW w:type="dxa" w:w="34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QA Engineer / Independent Auditor</w:t>
            </w:r>
          </w:p>
        </w:tc>
      </w:tr>
      <w:tr>
        <w:tc>
          <w:tcPr>
            <w:tcW w:type="dxa" w:w="24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External Client Audit</w:t>
            </w:r>
          </w:p>
        </w:tc>
        <w:tc>
          <w:tcPr>
            <w:tcW w:type="dxa" w:w="34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Audit or inspection requested in writing by the Client, performed by independent third-party auditors; planned at least 3 weeks in advance.</w:t>
            </w:r>
          </w:p>
        </w:tc>
        <w:tc>
          <w:tcPr>
            <w:tcW w:type="dxa" w:w="18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Per Client request</w:t>
            </w:r>
          </w:p>
        </w:tc>
        <w:tc>
          <w:tcPr>
            <w:tcW w:type="dxa" w:w="34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Client-appointed Auditor Team</w:t>
            </w:r>
          </w:p>
        </w:tc>
      </w:tr>
    </w:tbl>
    <w:p>
      <w:pPr>
        <w:pStyle w:val="Heading1"/>
        <w:pBdr>
          <w:bottom w:val="single" w:color="0F6C6C" w:sz="8" w:space="4"/>
        </w:pBdr>
        <w:spacing w:after="160" w:before="360"/>
      </w:pPr>
      <w:r>
        <w:rPr>
          <w:rFonts w:ascii="Calibri" w:cs="Calibri" w:eastAsia="Calibri" w:hAnsi="Calibri"/>
          <w:b/>
          <w:bCs/>
          <w:color w:val="1B2A4A"/>
          <w:sz w:val="28"/>
          <w:szCs w:val="28"/>
        </w:rPr>
        <w:t xml:space="preserve">5.0  Auditor Competency &amp; Independence</w:t>
      </w:r>
    </w:p>
    <w:p>
      <w:pPr>
        <w:pStyle w:val="ListParagraph"/>
        <w:numPr>
          <w:ilvl w:val="0"/>
          <w:numId w:val="2"/>
        </w:numPr>
        <w:spacing w:after="80"/>
      </w:pPr>
      <w:r>
        <w:rPr>
          <w:rFonts w:ascii="Calibri" w:cs="Calibri" w:eastAsia="Calibri" w:hAnsi="Calibri"/>
          <w:color w:val="1A1A1A"/>
          <w:sz w:val="20"/>
          <w:szCs w:val="20"/>
        </w:rPr>
        <w:t xml:space="preserve">Only personnel who have received adequate training may lead audits, in accordance with the auditor competency requirements set out in the SWDA Training Plan &amp; Competency Matrix.</w:t>
      </w:r>
    </w:p>
    <w:p>
      <w:pPr>
        <w:pStyle w:val="ListParagraph"/>
        <w:numPr>
          <w:ilvl w:val="0"/>
          <w:numId w:val="2"/>
        </w:numPr>
        <w:spacing w:after="80"/>
      </w:pPr>
      <w:r>
        <w:rPr>
          <w:rFonts w:ascii="Calibri" w:cs="Calibri" w:eastAsia="Calibri" w:hAnsi="Calibri"/>
          <w:color w:val="1A1A1A"/>
          <w:sz w:val="20"/>
          <w:szCs w:val="20"/>
        </w:rPr>
        <w:t xml:space="preserve">Audits are conducted by auditors independent of the process or facility being audited, to preserve objectivity.</w:t>
      </w:r>
    </w:p>
    <w:p>
      <w:pPr>
        <w:pStyle w:val="ListParagraph"/>
        <w:numPr>
          <w:ilvl w:val="0"/>
          <w:numId w:val="2"/>
        </w:numPr>
        <w:spacing w:after="80"/>
      </w:pPr>
      <w:r>
        <w:rPr>
          <w:rFonts w:ascii="Calibri" w:cs="Calibri" w:eastAsia="Calibri" w:hAnsi="Calibri"/>
          <w:color w:val="1A1A1A"/>
          <w:sz w:val="20"/>
          <w:szCs w:val="20"/>
        </w:rPr>
        <w:t xml:space="preserve">A competence assurance system defines auditor competence and ensures relevant HSE Auditor training is provided across different areas of the company, so that a number of staff from different disciplines are competent to carry out audits.</w:t>
      </w:r>
    </w:p>
    <w:p>
      <w:pPr>
        <w:pStyle w:val="ListParagraph"/>
        <w:numPr>
          <w:ilvl w:val="0"/>
          <w:numId w:val="2"/>
        </w:numPr>
        <w:spacing w:after="80"/>
      </w:pPr>
      <w:r>
        <w:rPr>
          <w:rFonts w:ascii="Calibri" w:cs="Calibri" w:eastAsia="Calibri" w:hAnsi="Calibri"/>
          <w:color w:val="1A1A1A"/>
          <w:sz w:val="20"/>
          <w:szCs w:val="20"/>
        </w:rPr>
        <w:t xml:space="preserve">Audit procedures specify the requirements of audit teams in terms of competency, subject-area experience and impartiality; an audit focal point or department coordinates the appointment of competent auditors.</w:t>
      </w:r>
    </w:p>
    <w:p>
      <w:pPr>
        <w:pStyle w:val="ListParagraph"/>
        <w:numPr>
          <w:ilvl w:val="0"/>
          <w:numId w:val="2"/>
        </w:numPr>
        <w:spacing w:after="80"/>
      </w:pPr>
      <w:r>
        <w:rPr>
          <w:rFonts w:ascii="Calibri" w:cs="Calibri" w:eastAsia="Calibri" w:hAnsi="Calibri"/>
          <w:color w:val="1A1A1A"/>
          <w:sz w:val="20"/>
          <w:szCs w:val="20"/>
        </w:rPr>
        <w:t xml:space="preserve">For QA/QC audits, the Project QA Superintendent prepares the Quality Audit Schedule and Quality Audit Plan; for Independent Audits, the auditor is approved by the relevant HSE Advisor on behalf of the Company.</w:t>
      </w:r>
    </w:p>
    <w:p>
      <w:r>
        <w:br w:type="page"/>
      </w:r>
    </w:p>
    <w:p>
      <w:pPr>
        <w:pStyle w:val="Heading1"/>
        <w:pBdr>
          <w:bottom w:val="single" w:color="0F6C6C" w:sz="8" w:space="4"/>
        </w:pBdr>
        <w:spacing w:after="160" w:before="360"/>
      </w:pPr>
      <w:r>
        <w:rPr>
          <w:rFonts w:ascii="Calibri" w:cs="Calibri" w:eastAsia="Calibri" w:hAnsi="Calibri"/>
          <w:b/>
          <w:bCs/>
          <w:color w:val="1B2A4A"/>
          <w:sz w:val="28"/>
          <w:szCs w:val="28"/>
        </w:rPr>
        <w:t xml:space="preserve">6.0  Audit Process</w:t>
      </w:r>
    </w:p>
    <w:p>
      <w:pPr>
        <w:pStyle w:val="Heading2"/>
        <w:spacing w:after="120" w:before="280"/>
      </w:pPr>
      <w:r>
        <w:rPr>
          <w:rFonts w:ascii="Calibri" w:cs="Calibri" w:eastAsia="Calibri" w:hAnsi="Calibri"/>
          <w:b/>
          <w:bCs/>
          <w:color w:val="0F6C6C"/>
          <w:sz w:val="24"/>
          <w:szCs w:val="24"/>
        </w:rPr>
        <w:t xml:space="preserve">6.1  Audit Planning</w:t>
      </w:r>
    </w:p>
    <w:p>
      <w:pPr>
        <w:pStyle w:val="ListParagraph"/>
        <w:numPr>
          <w:ilvl w:val="0"/>
          <w:numId w:val="2"/>
        </w:numPr>
        <w:spacing w:after="80"/>
      </w:pPr>
      <w:r>
        <w:rPr>
          <w:rFonts w:ascii="Calibri" w:cs="Calibri" w:eastAsia="Calibri" w:hAnsi="Calibri"/>
          <w:color w:val="1A1A1A"/>
          <w:sz w:val="20"/>
          <w:szCs w:val="20"/>
        </w:rPr>
        <w:t xml:space="preserve">All HSE-critical activities and work areas are audited at least once per year; in addition to annually scheduled audits, the Lead Auditor may select certain activities for follow-up or more frequent auditing as their status and past compliance history changes.</w:t>
      </w:r>
    </w:p>
    <w:p>
      <w:pPr>
        <w:pStyle w:val="ListParagraph"/>
        <w:numPr>
          <w:ilvl w:val="0"/>
          <w:numId w:val="2"/>
        </w:numPr>
        <w:spacing w:after="80"/>
      </w:pPr>
      <w:r>
        <w:rPr>
          <w:rFonts w:ascii="Calibri" w:cs="Calibri" w:eastAsia="Calibri" w:hAnsi="Calibri"/>
          <w:color w:val="1A1A1A"/>
          <w:sz w:val="20"/>
          <w:szCs w:val="20"/>
        </w:rPr>
        <w:t xml:space="preserve">The Lead Auditor prepares an Audit Plan defining scope, objectives, methods, procedures, and the schedule for opening, interim and closing meetings.</w:t>
      </w:r>
    </w:p>
    <w:p>
      <w:pPr>
        <w:pStyle w:val="Heading2"/>
        <w:spacing w:after="120" w:before="280"/>
      </w:pPr>
      <w:r>
        <w:rPr>
          <w:rFonts w:ascii="Calibri" w:cs="Calibri" w:eastAsia="Calibri" w:hAnsi="Calibri"/>
          <w:b/>
          <w:bCs/>
          <w:color w:val="0F6C6C"/>
          <w:sz w:val="24"/>
          <w:szCs w:val="24"/>
        </w:rPr>
        <w:t xml:space="preserve">6.2  Opening Meeting</w:t>
      </w:r>
    </w:p>
    <w:p>
      <w:pPr>
        <w:pStyle w:val="ListParagraph"/>
        <w:numPr>
          <w:ilvl w:val="0"/>
          <w:numId w:val="3"/>
        </w:numPr>
        <w:spacing w:after="80"/>
      </w:pPr>
      <w:r>
        <w:rPr>
          <w:rFonts w:ascii="Calibri" w:cs="Calibri" w:eastAsia="Calibri" w:hAnsi="Calibri"/>
          <w:color w:val="1A1A1A"/>
          <w:sz w:val="20"/>
          <w:szCs w:val="20"/>
        </w:rPr>
        <w:t xml:space="preserve">Introduce the members of the Audit Team to the auditees and establish communication links with the activities being audited.</w:t>
      </w:r>
    </w:p>
    <w:p>
      <w:pPr>
        <w:pStyle w:val="ListParagraph"/>
        <w:numPr>
          <w:ilvl w:val="0"/>
          <w:numId w:val="3"/>
        </w:numPr>
        <w:spacing w:after="80"/>
      </w:pPr>
      <w:r>
        <w:rPr>
          <w:rFonts w:ascii="Calibri" w:cs="Calibri" w:eastAsia="Calibri" w:hAnsi="Calibri"/>
          <w:color w:val="1A1A1A"/>
          <w:sz w:val="20"/>
          <w:szCs w:val="20"/>
        </w:rPr>
        <w:t xml:space="preserve">Review the scope and objectives of the audit and provide a short summary of the methods and procedures to be used to conduct the audit.</w:t>
      </w:r>
    </w:p>
    <w:p>
      <w:pPr>
        <w:pStyle w:val="ListParagraph"/>
        <w:numPr>
          <w:ilvl w:val="0"/>
          <w:numId w:val="3"/>
        </w:numPr>
        <w:spacing w:after="80"/>
      </w:pPr>
      <w:r>
        <w:rPr>
          <w:rFonts w:ascii="Calibri" w:cs="Calibri" w:eastAsia="Calibri" w:hAnsi="Calibri"/>
          <w:color w:val="1A1A1A"/>
          <w:sz w:val="20"/>
          <w:szCs w:val="20"/>
        </w:rPr>
        <w:t xml:space="preserve">Clarify the details of the Audit Plan and confirm the time and date for the closing meeting and any interim meetings.</w:t>
      </w:r>
    </w:p>
    <w:p>
      <w:pPr>
        <w:pStyle w:val="Heading2"/>
        <w:spacing w:after="120" w:before="280"/>
      </w:pPr>
      <w:r>
        <w:rPr>
          <w:rFonts w:ascii="Calibri" w:cs="Calibri" w:eastAsia="Calibri" w:hAnsi="Calibri"/>
          <w:b/>
          <w:bCs/>
          <w:color w:val="0F6C6C"/>
          <w:sz w:val="24"/>
          <w:szCs w:val="24"/>
        </w:rPr>
        <w:t xml:space="preserve">6.3  Conducting the Audit</w:t>
      </w:r>
    </w:p>
    <w:p>
      <w:pPr>
        <w:pStyle w:val="ListParagraph"/>
        <w:numPr>
          <w:ilvl w:val="0"/>
          <w:numId w:val="2"/>
        </w:numPr>
        <w:spacing w:after="80"/>
      </w:pPr>
      <w:r>
        <w:rPr>
          <w:rFonts w:ascii="Calibri" w:cs="Calibri" w:eastAsia="Calibri" w:hAnsi="Calibri"/>
          <w:color w:val="1A1A1A"/>
          <w:sz w:val="20"/>
          <w:szCs w:val="20"/>
        </w:rPr>
        <w:t xml:space="preserve">General housekeeping, work environment, knowledge of the HSE System and Policy, product identification and traceability, document and data control, and control of HSE records are observed in every audited area at every audit; if any of these is not reviewed, the reason is noted in the Audit Report comments.</w:t>
      </w:r>
    </w:p>
    <w:p>
      <w:pPr>
        <w:pStyle w:val="ListParagraph"/>
        <w:numPr>
          <w:ilvl w:val="0"/>
          <w:numId w:val="2"/>
        </w:numPr>
        <w:spacing w:after="80"/>
      </w:pPr>
      <w:r>
        <w:rPr>
          <w:rFonts w:ascii="Calibri" w:cs="Calibri" w:eastAsia="Calibri" w:hAnsi="Calibri"/>
          <w:color w:val="1A1A1A"/>
          <w:sz w:val="20"/>
          <w:szCs w:val="20"/>
        </w:rPr>
        <w:t xml:space="preserve">Auditors collect evidence through interviews, examination of documents and HSE records, and observation of activities and conditions in the areas of concern.</w:t>
      </w:r>
    </w:p>
    <w:p>
      <w:pPr>
        <w:pStyle w:val="ListParagraph"/>
        <w:numPr>
          <w:ilvl w:val="0"/>
          <w:numId w:val="2"/>
        </w:numPr>
        <w:spacing w:after="80"/>
      </w:pPr>
      <w:r>
        <w:rPr>
          <w:rFonts w:ascii="Calibri" w:cs="Calibri" w:eastAsia="Calibri" w:hAnsi="Calibri"/>
          <w:color w:val="1A1A1A"/>
          <w:sz w:val="20"/>
          <w:szCs w:val="20"/>
        </w:rPr>
        <w:t xml:space="preserve">Information gathered through interviews is tested or investigated by acquiring the same information from other independent sources, such as physical observation, measurements and records.</w:t>
      </w:r>
    </w:p>
    <w:p>
      <w:pPr>
        <w:pStyle w:val="ListParagraph"/>
        <w:numPr>
          <w:ilvl w:val="0"/>
          <w:numId w:val="2"/>
        </w:numPr>
        <w:spacing w:after="80"/>
      </w:pPr>
      <w:r>
        <w:rPr>
          <w:rFonts w:ascii="Calibri" w:cs="Calibri" w:eastAsia="Calibri" w:hAnsi="Calibri"/>
          <w:color w:val="1A1A1A"/>
          <w:sz w:val="20"/>
          <w:szCs w:val="20"/>
        </w:rPr>
        <w:t xml:space="preserve">All audit observations are documented, even if not originally covered on the checklist. Area management is kept continuously informed of findings – there are to be no surprises at the closing meeting.</w:t>
      </w:r>
    </w:p>
    <w:p>
      <w:pPr>
        <w:pStyle w:val="ListParagraph"/>
        <w:numPr>
          <w:ilvl w:val="0"/>
          <w:numId w:val="2"/>
        </w:numPr>
        <w:spacing w:after="80"/>
      </w:pPr>
      <w:r>
        <w:rPr>
          <w:rFonts w:ascii="Calibri" w:cs="Calibri" w:eastAsia="Calibri" w:hAnsi="Calibri"/>
          <w:color w:val="1A1A1A"/>
          <w:sz w:val="20"/>
          <w:szCs w:val="20"/>
        </w:rPr>
        <w:t xml:space="preserve">The Lead Auditor may make changes to auditor work assignments or the Audit Plan during the audit, if necessary to achieve the audit objectives.</w:t>
      </w:r>
    </w:p>
    <w:p>
      <w:pPr>
        <w:pStyle w:val="Heading2"/>
        <w:spacing w:after="120" w:before="280"/>
      </w:pPr>
      <w:r>
        <w:rPr>
          <w:rFonts w:ascii="Calibri" w:cs="Calibri" w:eastAsia="Calibri" w:hAnsi="Calibri"/>
          <w:b/>
          <w:bCs/>
          <w:color w:val="0F6C6C"/>
          <w:sz w:val="24"/>
          <w:szCs w:val="24"/>
        </w:rPr>
        <w:t xml:space="preserve">6.4  Closing Meeting</w:t>
      </w:r>
    </w:p>
    <w:p>
      <w:pPr>
        <w:pStyle w:val="ListParagraph"/>
        <w:numPr>
          <w:ilvl w:val="0"/>
          <w:numId w:val="4"/>
        </w:numPr>
        <w:spacing w:after="80"/>
      </w:pPr>
      <w:r>
        <w:rPr>
          <w:rFonts w:ascii="Calibri" w:cs="Calibri" w:eastAsia="Calibri" w:hAnsi="Calibri"/>
          <w:color w:val="1A1A1A"/>
          <w:sz w:val="20"/>
          <w:szCs w:val="20"/>
        </w:rPr>
        <w:t xml:space="preserve">Present audit observations to auditee management, taking into account their perceived significance.</w:t>
      </w:r>
    </w:p>
    <w:p>
      <w:pPr>
        <w:pStyle w:val="ListParagraph"/>
        <w:numPr>
          <w:ilvl w:val="0"/>
          <w:numId w:val="4"/>
        </w:numPr>
        <w:spacing w:after="80"/>
      </w:pPr>
      <w:r>
        <w:rPr>
          <w:rFonts w:ascii="Calibri" w:cs="Calibri" w:eastAsia="Calibri" w:hAnsi="Calibri"/>
          <w:color w:val="1A1A1A"/>
          <w:sz w:val="20"/>
          <w:szCs w:val="20"/>
        </w:rPr>
        <w:t xml:space="preserve">Present the Audit Team's conclusions regarding the effectiveness of the HSE System, in the form of Audit Reports and HSE Issue Forms.</w:t>
      </w:r>
    </w:p>
    <w:p>
      <w:pPr>
        <w:pStyle w:val="ListParagraph"/>
        <w:numPr>
          <w:ilvl w:val="0"/>
          <w:numId w:val="4"/>
        </w:numPr>
        <w:spacing w:after="80"/>
      </w:pPr>
      <w:r>
        <w:rPr>
          <w:rFonts w:ascii="Calibri" w:cs="Calibri" w:eastAsia="Calibri" w:hAnsi="Calibri"/>
          <w:color w:val="1A1A1A"/>
          <w:sz w:val="20"/>
          <w:szCs w:val="20"/>
        </w:rPr>
        <w:t xml:space="preserve">Findings of non-conformance are resolved through the HSE Issue Review process, with Corrective Actions proportionate to the magnitude of the problem and the risk encountered.</w:t>
      </w:r>
    </w:p>
    <w:p>
      <w:pPr>
        <w:spacing w:after="120"/>
      </w:pPr>
      <w:r>
        <w:rPr>
          <w:rFonts w:ascii="Calibri" w:cs="Calibri" w:eastAsia="Calibri" w:hAnsi="Calibri"/>
          <w:color w:val="1A1A1A"/>
          <w:sz w:val="20"/>
          <w:szCs w:val="20"/>
        </w:rPr>
        <w:t xml:space="preserve">For Internal Audit HSE issues, the Lead Auditor is authorised to accept or reject Corrective Actions unless problem-solving is required, in which case the issue is escalated per Section 9.0.</w:t>
      </w:r>
    </w:p>
    <w:p>
      <w:r>
        <w:br w:type="page"/>
      </w:r>
    </w:p>
    <w:p>
      <w:pPr>
        <w:pStyle w:val="Heading1"/>
        <w:pBdr>
          <w:bottom w:val="single" w:color="0F6C6C" w:sz="8" w:space="4"/>
        </w:pBdr>
        <w:spacing w:after="160" w:before="360"/>
      </w:pPr>
      <w:r>
        <w:rPr>
          <w:rFonts w:ascii="Calibri" w:cs="Calibri" w:eastAsia="Calibri" w:hAnsi="Calibri"/>
          <w:b/>
          <w:bCs/>
          <w:color w:val="1B2A4A"/>
          <w:sz w:val="28"/>
          <w:szCs w:val="28"/>
        </w:rPr>
        <w:t xml:space="preserve">7.0  Inspection Programme &amp; Types</w:t>
      </w:r>
    </w:p>
    <w:p>
      <w:pPr>
        <w:pStyle w:val="Heading2"/>
        <w:spacing w:after="120" w:before="280"/>
      </w:pPr>
      <w:r>
        <w:rPr>
          <w:rFonts w:ascii="Calibri" w:cs="Calibri" w:eastAsia="Calibri" w:hAnsi="Calibri"/>
          <w:b/>
          <w:bCs/>
          <w:color w:val="0F6C6C"/>
          <w:sz w:val="24"/>
          <w:szCs w:val="24"/>
        </w:rPr>
        <w:t xml:space="preserve">7.1  HSE Site Inspections</w:t>
      </w:r>
    </w:p>
    <w:p>
      <w:pPr>
        <w:spacing w:after="120"/>
      </w:pPr>
      <w:r>
        <w:rPr>
          <w:rFonts w:ascii="Calibri" w:cs="Calibri" w:eastAsia="Calibri" w:hAnsi="Calibri"/>
          <w:color w:val="1A1A1A"/>
          <w:sz w:val="20"/>
          <w:szCs w:val="20"/>
        </w:rPr>
        <w:t xml:space="preserve">Proactive measures of performance – including unsafe act auditing and site inspections – are used to monitor HSE-MS implementation and identify shortcomings, supported by a documented procedure for periodic evaluation of compliance with relevant HSE legislation and regulations.</w:t>
      </w:r>
    </w:p>
    <w:p>
      <w:pPr>
        <w:pStyle w:val="Heading2"/>
        <w:spacing w:after="120" w:before="280"/>
      </w:pPr>
      <w:r>
        <w:rPr>
          <w:rFonts w:ascii="Calibri" w:cs="Calibri" w:eastAsia="Calibri" w:hAnsi="Calibri"/>
          <w:b/>
          <w:bCs/>
          <w:color w:val="0F6C6C"/>
          <w:sz w:val="24"/>
          <w:szCs w:val="24"/>
        </w:rPr>
        <w:t xml:space="preserve">7.2  Product &amp; Service Monitoring Inspections</w:t>
      </w:r>
    </w:p>
    <w:p>
      <w:pPr>
        <w:spacing w:after="120"/>
      </w:pPr>
      <w:r>
        <w:rPr>
          <w:rFonts w:ascii="Calibri" w:cs="Calibri" w:eastAsia="Calibri" w:hAnsi="Calibri"/>
          <w:color w:val="1A1A1A"/>
          <w:sz w:val="20"/>
          <w:szCs w:val="20"/>
        </w:rPr>
        <w:t xml:space="preserve">Under the QMS, product and service monitoring includes the following inspection types:</w:t>
      </w:r>
    </w:p>
    <w:p>
      <w:pPr>
        <w:pStyle w:val="ListParagraph"/>
        <w:numPr>
          <w:ilvl w:val="0"/>
          <w:numId w:val="2"/>
        </w:numPr>
        <w:spacing w:after="80"/>
      </w:pPr>
      <w:r>
        <w:rPr>
          <w:rFonts w:ascii="Calibri" w:cs="Calibri" w:eastAsia="Calibri" w:hAnsi="Calibri"/>
          <w:color w:val="1A1A1A"/>
          <w:sz w:val="20"/>
          <w:szCs w:val="20"/>
        </w:rPr>
        <w:t xml:space="preserve">Receiving Inspection – incoming product/materials are not used or processed until inspected or otherwise verified as conforming to specified requirements, via receipt and evaluation of supplier statistical data, formal receiving inspection/test, accredited laboratory evaluation, or source inspection.</w:t>
      </w:r>
    </w:p>
    <w:p>
      <w:pPr>
        <w:pStyle w:val="ListParagraph"/>
        <w:numPr>
          <w:ilvl w:val="0"/>
          <w:numId w:val="2"/>
        </w:numPr>
        <w:spacing w:after="80"/>
      </w:pPr>
      <w:r>
        <w:rPr>
          <w:rFonts w:ascii="Calibri" w:cs="Calibri" w:eastAsia="Calibri" w:hAnsi="Calibri"/>
          <w:color w:val="1A1A1A"/>
          <w:sz w:val="20"/>
          <w:szCs w:val="20"/>
        </w:rPr>
        <w:t xml:space="preserve">Job Set-Up Verification – job set-ups are verified prior to commencing each new production run or service provision, and whenever process changes are made.</w:t>
      </w:r>
    </w:p>
    <w:p>
      <w:pPr>
        <w:pStyle w:val="ListParagraph"/>
        <w:numPr>
          <w:ilvl w:val="0"/>
          <w:numId w:val="2"/>
        </w:numPr>
        <w:spacing w:after="80"/>
      </w:pPr>
      <w:r>
        <w:rPr>
          <w:rFonts w:ascii="Calibri" w:cs="Calibri" w:eastAsia="Calibri" w:hAnsi="Calibri"/>
          <w:color w:val="1A1A1A"/>
          <w:sz w:val="20"/>
          <w:szCs w:val="20"/>
        </w:rPr>
        <w:t xml:space="preserve">In-Process Inspection – formal in-process inspections are performed by Quality Control (QC) personnel in accordance with the Control Plan; manufacturing/operational process monitoring is performed by production/site personnel in accordance with the applicable Control Plan.</w:t>
      </w:r>
    </w:p>
    <w:p>
      <w:pPr>
        <w:pStyle w:val="ListParagraph"/>
        <w:numPr>
          <w:ilvl w:val="0"/>
          <w:numId w:val="2"/>
        </w:numPr>
        <w:spacing w:after="80"/>
      </w:pPr>
      <w:r>
        <w:rPr>
          <w:rFonts w:ascii="Calibri" w:cs="Calibri" w:eastAsia="Calibri" w:hAnsi="Calibri"/>
          <w:color w:val="1A1A1A"/>
          <w:sz w:val="20"/>
          <w:szCs w:val="20"/>
        </w:rPr>
        <w:t xml:space="preserve">Final Inspection &amp; Test – all finished products and completed services are verified by final inspections/tests specified in the Control Plan.</w:t>
      </w:r>
    </w:p>
    <w:p>
      <w:pPr>
        <w:pStyle w:val="Heading2"/>
        <w:spacing w:after="120" w:before="280"/>
      </w:pPr>
      <w:r>
        <w:rPr>
          <w:rFonts w:ascii="Calibri" w:cs="Calibri" w:eastAsia="Calibri" w:hAnsi="Calibri"/>
          <w:b/>
          <w:bCs/>
          <w:color w:val="0F6C6C"/>
          <w:sz w:val="24"/>
          <w:szCs w:val="24"/>
        </w:rPr>
        <w:t xml:space="preserve">7.3  Equipment &amp; PPE Inspection</w:t>
      </w:r>
    </w:p>
    <w:p>
      <w:pPr>
        <w:pStyle w:val="ListParagraph"/>
        <w:numPr>
          <w:ilvl w:val="0"/>
          <w:numId w:val="2"/>
        </w:numPr>
        <w:spacing w:after="80"/>
      </w:pPr>
      <w:r>
        <w:rPr>
          <w:rFonts w:ascii="Calibri" w:cs="Calibri" w:eastAsia="Calibri" w:hAnsi="Calibri"/>
          <w:color w:val="1A1A1A"/>
          <w:sz w:val="20"/>
          <w:szCs w:val="20"/>
        </w:rPr>
        <w:t xml:space="preserve">Pre-Mobilisation Equipment Inspection – tank cleaning equipment, consumables and PPE are inspected jointly by SWDA and the Client at the designated warehouse (e.g. SWDA Kidney Island Warehouse) prior to mobilisation, with Pre-Mobilisation Clearance Stickers issued on successful inspection.</w:t>
      </w:r>
    </w:p>
    <w:p>
      <w:pPr>
        <w:pStyle w:val="ListParagraph"/>
        <w:numPr>
          <w:ilvl w:val="0"/>
          <w:numId w:val="2"/>
        </w:numPr>
        <w:spacing w:after="80"/>
      </w:pPr>
      <w:r>
        <w:rPr>
          <w:rFonts w:ascii="Calibri" w:cs="Calibri" w:eastAsia="Calibri" w:hAnsi="Calibri"/>
          <w:color w:val="1A1A1A"/>
          <w:sz w:val="20"/>
          <w:szCs w:val="20"/>
        </w:rPr>
        <w:t xml:space="preserve">Gas Testing Equipment – calibration certificates must be available on-site for the duration of use, verified as part of daily Permit to Work issuance.</w:t>
      </w:r>
    </w:p>
    <w:p>
      <w:pPr>
        <w:pStyle w:val="ListParagraph"/>
        <w:numPr>
          <w:ilvl w:val="0"/>
          <w:numId w:val="2"/>
        </w:numPr>
        <w:spacing w:after="80"/>
      </w:pPr>
      <w:r>
        <w:rPr>
          <w:rFonts w:ascii="Calibri" w:cs="Calibri" w:eastAsia="Calibri" w:hAnsi="Calibri"/>
          <w:color w:val="1A1A1A"/>
          <w:sz w:val="20"/>
          <w:szCs w:val="20"/>
        </w:rPr>
        <w:t xml:space="preserve">PPE &amp; Consumables – inventories (hard hats, gloves, coveralls, SCBA, respirators, absorbent materials, spill response equipment, etc.) are checked against the site Pre-Mobilisation Consumables List and replenished/inspected on an ongoing basis.</w:t>
      </w:r>
    </w:p>
    <w:p>
      <w:pPr>
        <w:pStyle w:val="ListParagraph"/>
        <w:numPr>
          <w:ilvl w:val="0"/>
          <w:numId w:val="2"/>
        </w:numPr>
        <w:spacing w:after="80"/>
      </w:pPr>
      <w:r>
        <w:rPr>
          <w:rFonts w:ascii="Calibri" w:cs="Calibri" w:eastAsia="Calibri" w:hAnsi="Calibri"/>
          <w:color w:val="1A1A1A"/>
          <w:sz w:val="20"/>
          <w:szCs w:val="20"/>
        </w:rPr>
        <w:t xml:space="preserve">HSE-Critical Equipment – inspection and maintenance reports are retained as HSE records, covering equipment providing a control or recovery function (fire extinguishers, gas detectors, emergency eyewash stations, alarm systems).</w:t>
      </w:r>
    </w:p>
    <w:p>
      <w:pPr>
        <w:pStyle w:val="Heading1"/>
        <w:pBdr>
          <w:bottom w:val="single" w:color="0F6C6C" w:sz="8" w:space="4"/>
        </w:pBdr>
        <w:spacing w:after="160" w:before="360"/>
      </w:pPr>
      <w:r>
        <w:rPr>
          <w:rFonts w:ascii="Calibri" w:cs="Calibri" w:eastAsia="Calibri" w:hAnsi="Calibri"/>
          <w:b/>
          <w:bCs/>
          <w:color w:val="1B2A4A"/>
          <w:sz w:val="28"/>
          <w:szCs w:val="28"/>
        </w:rPr>
        <w:t xml:space="preserve">8.0  Inspection Checklists &amp; Frequency</w:t>
      </w:r>
    </w:p>
    <w:p>
      <w:pPr>
        <w:spacing w:after="120"/>
      </w:pPr>
      <w:r>
        <w:rPr>
          <w:rFonts w:ascii="Calibri" w:cs="Calibri" w:eastAsia="Calibri" w:hAnsi="Calibri"/>
          <w:color w:val="1A1A1A"/>
          <w:sz w:val="20"/>
          <w:szCs w:val="20"/>
        </w:rPr>
        <w:t xml:space="preserve">The table below summarises the standard SWDA site and equipment inspection regime, its frequency, and responsible party:</w:t>
      </w:r>
    </w:p>
    <w:tbl>
      <w:tblPr>
        <w:tblW w:type="dxa" w:w="11000"/>
        <w:tblBorders>
          <w:top w:val="single" w:color="auto" w:sz="4"/>
          <w:left w:val="single" w:color="auto" w:sz="4"/>
          <w:bottom w:val="single" w:color="auto" w:sz="4"/>
          <w:right w:val="single" w:color="auto" w:sz="4"/>
          <w:insideH w:val="single" w:color="auto" w:sz="4"/>
          <w:insideV w:val="single" w:color="auto" w:sz="4"/>
        </w:tblBorders>
      </w:tblPr>
      <w:tblGrid>
        <w:gridCol w:w="2600"/>
        <w:gridCol w:w="2000"/>
        <w:gridCol w:w="3400"/>
        <w:gridCol w:w="3000"/>
      </w:tblGrid>
      <w:tr>
        <w:trPr>
          <w:tblHeader/>
        </w:trPr>
        <w:tc>
          <w:tcPr>
            <w:tcW w:type="dxa" w:w="26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Inspection Type</w:t>
            </w:r>
          </w:p>
        </w:tc>
        <w:tc>
          <w:tcPr>
            <w:tcW w:type="dxa" w:w="20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Frequency</w:t>
            </w:r>
          </w:p>
        </w:tc>
        <w:tc>
          <w:tcPr>
            <w:tcW w:type="dxa" w:w="34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Checklist Focus</w:t>
            </w:r>
          </w:p>
        </w:tc>
        <w:tc>
          <w:tcPr>
            <w:tcW w:type="dxa" w:w="30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Responsible</w:t>
            </w:r>
          </w:p>
        </w:tc>
      </w:tr>
      <w:tr>
        <w:tc>
          <w:tcPr>
            <w:tcW w:type="dxa" w:w="26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Daily Pre-Task / Toolbox Inspection</w:t>
            </w:r>
          </w:p>
        </w:tc>
        <w:tc>
          <w:tcPr>
            <w:tcW w:type="dxa" w:w="20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Daily, every shift</w:t>
            </w:r>
          </w:p>
        </w:tc>
        <w:tc>
          <w:tcPr>
            <w:tcW w:type="dxa" w:w="34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Site work area, PPE, immediate hazards, permit conditions</w:t>
            </w:r>
          </w:p>
        </w:tc>
        <w:tc>
          <w:tcPr>
            <w:tcW w:type="dxa" w:w="30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Site Supervisor / SYLA-SWC (individual worker)</w:t>
            </w:r>
          </w:p>
        </w:tc>
      </w:tr>
      <w:tr>
        <w:tc>
          <w:tcPr>
            <w:tcW w:type="dxa" w:w="2600"/>
            <w:shd w:fill="E8F2F1"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Weekly PPE &amp; Housekeeping Inspection</w:t>
            </w:r>
          </w:p>
        </w:tc>
        <w:tc>
          <w:tcPr>
            <w:tcW w:type="dxa" w:w="20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Weekly</w:t>
            </w:r>
          </w:p>
        </w:tc>
        <w:tc>
          <w:tcPr>
            <w:tcW w:type="dxa" w:w="34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PPE stock/condition, housekeeping, fire extinguisher tags, walkway condition</w:t>
            </w:r>
          </w:p>
        </w:tc>
        <w:tc>
          <w:tcPr>
            <w:tcW w:type="dxa" w:w="30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HSE Officer</w:t>
            </w:r>
          </w:p>
        </w:tc>
      </w:tr>
      <w:tr>
        <w:tc>
          <w:tcPr>
            <w:tcW w:type="dxa" w:w="26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Confined Space Entry Pre-Job Inspection</w:t>
            </w:r>
          </w:p>
        </w:tc>
        <w:tc>
          <w:tcPr>
            <w:tcW w:type="dxa" w:w="20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Before every CSE task</w:t>
            </w:r>
          </w:p>
        </w:tc>
        <w:tc>
          <w:tcPr>
            <w:tcW w:type="dxa" w:w="34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Gas detector calibration, rescue equipment, CSE Attendant readiness</w:t>
            </w:r>
          </w:p>
        </w:tc>
        <w:tc>
          <w:tcPr>
            <w:tcW w:type="dxa" w:w="30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Confined Space Supervisor</w:t>
            </w:r>
          </w:p>
        </w:tc>
      </w:tr>
      <w:tr>
        <w:tc>
          <w:tcPr>
            <w:tcW w:type="dxa" w:w="2600"/>
            <w:shd w:fill="E8F2F1"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Monthly Equipment Inspection</w:t>
            </w:r>
          </w:p>
        </w:tc>
        <w:tc>
          <w:tcPr>
            <w:tcW w:type="dxa" w:w="20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Monthly</w:t>
            </w:r>
          </w:p>
        </w:tc>
        <w:tc>
          <w:tcPr>
            <w:tcW w:type="dxa" w:w="34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Tank cleaning modules, hoses, pumps, lifting equipment, vehicles</w:t>
            </w:r>
          </w:p>
        </w:tc>
        <w:tc>
          <w:tcPr>
            <w:tcW w:type="dxa" w:w="30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Plant/Equipment Supervisor</w:t>
            </w:r>
          </w:p>
        </w:tc>
      </w:tr>
      <w:tr>
        <w:tc>
          <w:tcPr>
            <w:tcW w:type="dxa" w:w="26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Waste Management Area Inspection</w:t>
            </w:r>
          </w:p>
        </w:tc>
        <w:tc>
          <w:tcPr>
            <w:tcW w:type="dxa" w:w="20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Monthly (min.)</w:t>
            </w:r>
          </w:p>
        </w:tc>
        <w:tc>
          <w:tcPr>
            <w:tcW w:type="dxa" w:w="34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Waste segregation, signage, storage compliance, spill containment</w:t>
            </w:r>
          </w:p>
        </w:tc>
        <w:tc>
          <w:tcPr>
            <w:tcW w:type="dxa" w:w="30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Waste Management Coordinator</w:t>
            </w:r>
          </w:p>
        </w:tc>
      </w:tr>
      <w:tr>
        <w:tc>
          <w:tcPr>
            <w:tcW w:type="dxa" w:w="2600"/>
            <w:shd w:fill="E8F2F1"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Pre-Mobilisation Equipment Inspection</w:t>
            </w:r>
          </w:p>
        </w:tc>
        <w:tc>
          <w:tcPr>
            <w:tcW w:type="dxa" w:w="20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Prior to each mobilisation</w:t>
            </w:r>
          </w:p>
        </w:tc>
        <w:tc>
          <w:tcPr>
            <w:tcW w:type="dxa" w:w="34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Full equipment/PPE/consumables inventory verification, clearance sticker issuance</w:t>
            </w:r>
          </w:p>
        </w:tc>
        <w:tc>
          <w:tcPr>
            <w:tcW w:type="dxa" w:w="30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SWDA &amp; Client Joint Inspection Team</w:t>
            </w:r>
          </w:p>
        </w:tc>
      </w:tr>
      <w:tr>
        <w:tc>
          <w:tcPr>
            <w:tcW w:type="dxa" w:w="26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Accommodation / Welfare Facility Inspection</w:t>
            </w:r>
          </w:p>
        </w:tc>
        <w:tc>
          <w:tcPr>
            <w:tcW w:type="dxa" w:w="20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Monthly</w:t>
            </w:r>
          </w:p>
        </w:tc>
        <w:tc>
          <w:tcPr>
            <w:tcW w:type="dxa" w:w="34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Accommodation standards, canteen hygiene, fire &amp; gas detection systems</w:t>
            </w:r>
          </w:p>
        </w:tc>
        <w:tc>
          <w:tcPr>
            <w:tcW w:type="dxa" w:w="30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HSE Officer / Workers Welfare Committee</w:t>
            </w:r>
          </w:p>
        </w:tc>
      </w:tr>
      <w:tr>
        <w:tc>
          <w:tcPr>
            <w:tcW w:type="dxa" w:w="2600"/>
            <w:shd w:fill="E8F2F1"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Environmental Inspection (Wastewater/Solid Waste)</w:t>
            </w:r>
          </w:p>
        </w:tc>
        <w:tc>
          <w:tcPr>
            <w:tcW w:type="dxa" w:w="20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Quarterly</w:t>
            </w:r>
          </w:p>
        </w:tc>
        <w:tc>
          <w:tcPr>
            <w:tcW w:type="dxa" w:w="34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Wastewater and solid waste treatment compliance</w:t>
            </w:r>
          </w:p>
        </w:tc>
        <w:tc>
          <w:tcPr>
            <w:tcW w:type="dxa" w:w="30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Environmental Officer</w:t>
            </w:r>
          </w:p>
        </w:tc>
      </w:tr>
    </w:tbl>
    <w:p>
      <w:r>
        <w:br w:type="page"/>
      </w:r>
    </w:p>
    <w:p>
      <w:pPr>
        <w:pStyle w:val="Heading1"/>
        <w:pBdr>
          <w:bottom w:val="single" w:color="0F6C6C" w:sz="8" w:space="4"/>
        </w:pBdr>
        <w:spacing w:after="160" w:before="360"/>
      </w:pPr>
      <w:r>
        <w:rPr>
          <w:rFonts w:ascii="Calibri" w:cs="Calibri" w:eastAsia="Calibri" w:hAnsi="Calibri"/>
          <w:b/>
          <w:bCs/>
          <w:color w:val="1B2A4A"/>
          <w:sz w:val="28"/>
          <w:szCs w:val="28"/>
        </w:rPr>
        <w:t xml:space="preserve">9.0  Findings, Non-Conformance &amp; Corrective Action</w:t>
      </w:r>
    </w:p>
    <w:p>
      <w:pPr>
        <w:spacing w:after="120"/>
      </w:pPr>
      <w:r>
        <w:rPr>
          <w:rFonts w:ascii="Calibri" w:cs="Calibri" w:eastAsia="Calibri" w:hAnsi="Calibri"/>
          <w:color w:val="1A1A1A"/>
          <w:sz w:val="20"/>
          <w:szCs w:val="20"/>
        </w:rPr>
        <w:t xml:space="preserve">SWDA maintains an effective control process to ensure that audit and inspection findings are recorded, prioritised, assigned to an action party with a targeted completion date, and tracked to final close-out.</w:t>
      </w:r>
    </w:p>
    <w:p>
      <w:pPr>
        <w:pStyle w:val="ListParagraph"/>
        <w:numPr>
          <w:ilvl w:val="0"/>
          <w:numId w:val="2"/>
        </w:numPr>
        <w:spacing w:after="80"/>
      </w:pPr>
      <w:r>
        <w:rPr>
          <w:rFonts w:ascii="Calibri" w:cs="Calibri" w:eastAsia="Calibri" w:hAnsi="Calibri"/>
          <w:color w:val="1A1A1A"/>
          <w:sz w:val="20"/>
          <w:szCs w:val="20"/>
        </w:rPr>
        <w:t xml:space="preserve">Non-Conformance Reports (NCRs) are raised in accordance with the Non-Conformance Control Procedure whenever a finding is identified; the QA/QC Manager monitors NCR status until satisfactory close-out.</w:t>
      </w:r>
    </w:p>
    <w:p>
      <w:pPr>
        <w:pStyle w:val="ListParagraph"/>
        <w:numPr>
          <w:ilvl w:val="0"/>
          <w:numId w:val="2"/>
        </w:numPr>
        <w:spacing w:after="80"/>
      </w:pPr>
      <w:r>
        <w:rPr>
          <w:rFonts w:ascii="Calibri" w:cs="Calibri" w:eastAsia="Calibri" w:hAnsi="Calibri"/>
          <w:color w:val="1A1A1A"/>
          <w:sz w:val="20"/>
          <w:szCs w:val="20"/>
        </w:rPr>
        <w:t xml:space="preserve">HSE audit findings of non-conformance are resolved through the HSE Issue Review process; Corrective Actions are proportionate to the magnitude of the problem and the risk encountered.</w:t>
      </w:r>
    </w:p>
    <w:p>
      <w:pPr>
        <w:pStyle w:val="ListParagraph"/>
        <w:numPr>
          <w:ilvl w:val="0"/>
          <w:numId w:val="2"/>
        </w:numPr>
        <w:spacing w:after="80"/>
      </w:pPr>
      <w:r>
        <w:rPr>
          <w:rFonts w:ascii="Calibri" w:cs="Calibri" w:eastAsia="Calibri" w:hAnsi="Calibri"/>
          <w:color w:val="1A1A1A"/>
          <w:sz w:val="20"/>
          <w:szCs w:val="20"/>
        </w:rPr>
        <w:t xml:space="preserve">All findings – from audits, inspections, and equipment/PPE checks – are logged in the SWDA Project Action Tracking Register (Section 5.0 Inspections, or Section 6.0 Audits, as appropriate), with an assigned owner, target date and verification requirement.</w:t>
      </w:r>
    </w:p>
    <w:p>
      <w:pPr>
        <w:pStyle w:val="ListParagraph"/>
        <w:numPr>
          <w:ilvl w:val="0"/>
          <w:numId w:val="2"/>
        </w:numPr>
        <w:spacing w:after="80"/>
      </w:pPr>
      <w:r>
        <w:rPr>
          <w:rFonts w:ascii="Calibri" w:cs="Calibri" w:eastAsia="Calibri" w:hAnsi="Calibri"/>
          <w:color w:val="1A1A1A"/>
          <w:sz w:val="20"/>
          <w:szCs w:val="20"/>
        </w:rPr>
        <w:t xml:space="preserve">Best practices and key lessons learned are shared across all locations/assets as appropriate; a periodic Management Review of audit findings, trends and follow-up action plans is conducted (see the Project Action Tracking Register, Section 7.0 Management Reviews).</w:t>
      </w:r>
    </w:p>
    <w:p>
      <w:pPr>
        <w:pStyle w:val="ListParagraph"/>
        <w:numPr>
          <w:ilvl w:val="0"/>
          <w:numId w:val="2"/>
        </w:numPr>
        <w:spacing w:after="80"/>
      </w:pPr>
      <w:r>
        <w:rPr>
          <w:rFonts w:ascii="Calibri" w:cs="Calibri" w:eastAsia="Calibri" w:hAnsi="Calibri"/>
          <w:color w:val="1A1A1A"/>
          <w:sz w:val="20"/>
          <w:szCs w:val="20"/>
        </w:rPr>
        <w:t xml:space="preserve">Root-cause analysis is applied to recurring findings, and corrective/preventive actions are implemented and verified for effectiveness before an NCR or finding is closed.</w:t>
      </w:r>
    </w:p>
    <w:p>
      <w:pPr>
        <w:pStyle w:val="Heading1"/>
        <w:pBdr>
          <w:bottom w:val="single" w:color="0F6C6C" w:sz="8" w:space="4"/>
        </w:pBdr>
        <w:spacing w:after="160" w:before="360"/>
      </w:pPr>
      <w:r>
        <w:rPr>
          <w:rFonts w:ascii="Calibri" w:cs="Calibri" w:eastAsia="Calibri" w:hAnsi="Calibri"/>
          <w:b/>
          <w:bCs/>
          <w:color w:val="1B2A4A"/>
          <w:sz w:val="28"/>
          <w:szCs w:val="28"/>
        </w:rPr>
        <w:t xml:space="preserve">10.0  Records &amp; Retention</w:t>
      </w:r>
    </w:p>
    <w:p>
      <w:pPr>
        <w:spacing w:after="120"/>
      </w:pPr>
      <w:r>
        <w:rPr>
          <w:rFonts w:ascii="Calibri" w:cs="Calibri" w:eastAsia="Calibri" w:hAnsi="Calibri"/>
          <w:color w:val="1A1A1A"/>
          <w:sz w:val="20"/>
          <w:szCs w:val="20"/>
        </w:rPr>
        <w:t xml:space="preserve">The following are maintained as auditable HSE and QMS records:</w:t>
      </w:r>
    </w:p>
    <w:p>
      <w:pPr>
        <w:pStyle w:val="ListParagraph"/>
        <w:numPr>
          <w:ilvl w:val="0"/>
          <w:numId w:val="2"/>
        </w:numPr>
        <w:spacing w:after="80"/>
      </w:pPr>
      <w:r>
        <w:rPr>
          <w:rFonts w:ascii="Calibri" w:cs="Calibri" w:eastAsia="Calibri" w:hAnsi="Calibri"/>
          <w:color w:val="1A1A1A"/>
          <w:sz w:val="20"/>
          <w:szCs w:val="20"/>
        </w:rPr>
        <w:t xml:space="preserve">Reports of audits and reviews, and audit tracking data;</w:t>
      </w:r>
    </w:p>
    <w:p>
      <w:pPr>
        <w:pStyle w:val="ListParagraph"/>
        <w:numPr>
          <w:ilvl w:val="0"/>
          <w:numId w:val="2"/>
        </w:numPr>
        <w:spacing w:after="80"/>
      </w:pPr>
      <w:r>
        <w:rPr>
          <w:rFonts w:ascii="Calibri" w:cs="Calibri" w:eastAsia="Calibri" w:hAnsi="Calibri"/>
          <w:color w:val="1A1A1A"/>
          <w:sz w:val="20"/>
          <w:szCs w:val="20"/>
        </w:rPr>
        <w:t xml:space="preserve">Situations of non-compliance with HSE policy and associated improvement actions;</w:t>
      </w:r>
    </w:p>
    <w:p>
      <w:pPr>
        <w:pStyle w:val="ListParagraph"/>
        <w:numPr>
          <w:ilvl w:val="0"/>
          <w:numId w:val="2"/>
        </w:numPr>
        <w:spacing w:after="80"/>
      </w:pPr>
      <w:r>
        <w:rPr>
          <w:rFonts w:ascii="Calibri" w:cs="Calibri" w:eastAsia="Calibri" w:hAnsi="Calibri"/>
          <w:color w:val="1A1A1A"/>
          <w:sz w:val="20"/>
          <w:szCs w:val="20"/>
        </w:rPr>
        <w:t xml:space="preserve">Inspection and maintenance reports of HSE-critical equipment;</w:t>
      </w:r>
    </w:p>
    <w:p>
      <w:pPr>
        <w:pStyle w:val="ListParagraph"/>
        <w:numPr>
          <w:ilvl w:val="0"/>
          <w:numId w:val="2"/>
        </w:numPr>
        <w:spacing w:after="80"/>
      </w:pPr>
      <w:r>
        <w:rPr>
          <w:rFonts w:ascii="Calibri" w:cs="Calibri" w:eastAsia="Calibri" w:hAnsi="Calibri"/>
          <w:color w:val="1A1A1A"/>
          <w:sz w:val="20"/>
          <w:szCs w:val="20"/>
        </w:rPr>
        <w:t xml:space="preserve">Results of emergency drills and exercises;</w:t>
      </w:r>
    </w:p>
    <w:p>
      <w:pPr>
        <w:pStyle w:val="ListParagraph"/>
        <w:numPr>
          <w:ilvl w:val="0"/>
          <w:numId w:val="2"/>
        </w:numPr>
        <w:spacing w:after="80"/>
      </w:pPr>
      <w:r>
        <w:rPr>
          <w:rFonts w:ascii="Calibri" w:cs="Calibri" w:eastAsia="Calibri" w:hAnsi="Calibri"/>
          <w:color w:val="1A1A1A"/>
          <w:sz w:val="20"/>
          <w:szCs w:val="20"/>
        </w:rPr>
        <w:t xml:space="preserve">Training records, including HSE competency requirements (auditor competency);</w:t>
      </w:r>
    </w:p>
    <w:p>
      <w:pPr>
        <w:pStyle w:val="ListParagraph"/>
        <w:numPr>
          <w:ilvl w:val="0"/>
          <w:numId w:val="2"/>
        </w:numPr>
        <w:spacing w:after="80"/>
      </w:pPr>
      <w:r>
        <w:rPr>
          <w:rFonts w:ascii="Calibri" w:cs="Calibri" w:eastAsia="Calibri" w:hAnsi="Calibri"/>
          <w:color w:val="1A1A1A"/>
          <w:sz w:val="20"/>
          <w:szCs w:val="20"/>
        </w:rPr>
        <w:t xml:space="preserve">Calibration certificates for gas testing and other monitoring equipment;</w:t>
      </w:r>
    </w:p>
    <w:p>
      <w:pPr>
        <w:pStyle w:val="ListParagraph"/>
        <w:numPr>
          <w:ilvl w:val="0"/>
          <w:numId w:val="2"/>
        </w:numPr>
        <w:spacing w:after="80"/>
      </w:pPr>
      <w:r>
        <w:rPr>
          <w:rFonts w:ascii="Calibri" w:cs="Calibri" w:eastAsia="Calibri" w:hAnsi="Calibri"/>
          <w:color w:val="1A1A1A"/>
          <w:sz w:val="20"/>
          <w:szCs w:val="20"/>
        </w:rPr>
        <w:t xml:space="preserve">Pre-Mobilisation Inspection and Clearance records.</w:t>
      </w:r>
    </w:p>
    <w:p>
      <w:pPr>
        <w:spacing w:after="120"/>
      </w:pPr>
      <w:r>
        <w:rPr>
          <w:rFonts w:ascii="Calibri" w:cs="Calibri" w:eastAsia="Calibri" w:hAnsi="Calibri"/>
          <w:color w:val="1A1A1A"/>
          <w:sz w:val="20"/>
          <w:szCs w:val="20"/>
        </w:rPr>
        <w:t xml:space="preserve">Records are legible, identifiable and traceable to the activities involved, with retention times defined, and are stored and maintained to prevent loss and unintended use, consistent with legal requirements and knowledge preservation.</w:t>
      </w:r>
    </w:p>
    <w:p>
      <w:pPr>
        <w:pStyle w:val="Heading1"/>
        <w:pBdr>
          <w:bottom w:val="single" w:color="0F6C6C" w:sz="8" w:space="4"/>
        </w:pBdr>
        <w:spacing w:after="160" w:before="360"/>
      </w:pPr>
      <w:r>
        <w:rPr>
          <w:rFonts w:ascii="Calibri" w:cs="Calibri" w:eastAsia="Calibri" w:hAnsi="Calibri"/>
          <w:b/>
          <w:bCs/>
          <w:color w:val="1B2A4A"/>
          <w:sz w:val="28"/>
          <w:szCs w:val="28"/>
        </w:rPr>
        <w:t xml:space="preserve">11.0  Roles &amp; Responsibilities</w:t>
      </w:r>
    </w:p>
    <w:tbl>
      <w:tblPr>
        <w:tblW w:type="dxa" w:w="11000"/>
        <w:tblBorders>
          <w:top w:val="single" w:color="auto" w:sz="4"/>
          <w:left w:val="single" w:color="auto" w:sz="4"/>
          <w:bottom w:val="single" w:color="auto" w:sz="4"/>
          <w:right w:val="single" w:color="auto" w:sz="4"/>
          <w:insideH w:val="single" w:color="auto" w:sz="4"/>
          <w:insideV w:val="single" w:color="auto" w:sz="4"/>
        </w:tblBorders>
      </w:tblPr>
      <w:tblGrid>
        <w:gridCol w:w="3200"/>
        <w:gridCol w:w="7800"/>
      </w:tblGrid>
      <w:tr>
        <w:tc>
          <w:tcPr>
            <w:tcW w:type="dxa" w:w="3200"/>
            <w:shd w:fill="1B2A4A" w:val="clear"/>
            <w:tcMar>
              <w:top w:type="dxa" w:w="80"/>
              <w:left w:type="dxa" w:w="120"/>
              <w:bottom w:type="dxa" w:w="80"/>
              <w:right w:type="dxa" w:w="120"/>
            </w:tcMar>
            <w:vAlign w:val="center"/>
          </w:tcPr>
          <w:p>
            <w:pPr>
              <w:spacing w:after="0"/>
              <w:jc w:val="left"/>
            </w:pPr>
            <w:r>
              <w:rPr>
                <w:rFonts w:ascii="Calibri" w:cs="Calibri" w:eastAsia="Calibri" w:hAnsi="Calibri"/>
                <w:b/>
                <w:bCs/>
                <w:i w:val="false"/>
                <w:iCs w:val="false"/>
                <w:color w:val="FFFFFF"/>
                <w:sz w:val="16"/>
                <w:szCs w:val="16"/>
              </w:rPr>
              <w:t xml:space="preserve">Role</w:t>
            </w:r>
          </w:p>
        </w:tc>
        <w:tc>
          <w:tcPr>
            <w:tcW w:type="dxa" w:w="7800"/>
            <w:shd w:fill="1B2A4A" w:val="clear"/>
            <w:tcMar>
              <w:top w:type="dxa" w:w="80"/>
              <w:left w:type="dxa" w:w="120"/>
              <w:bottom w:type="dxa" w:w="80"/>
              <w:right w:type="dxa" w:w="120"/>
            </w:tcMar>
            <w:vAlign w:val="center"/>
          </w:tcPr>
          <w:p>
            <w:pPr>
              <w:spacing w:after="0"/>
              <w:jc w:val="left"/>
            </w:pPr>
            <w:r>
              <w:rPr>
                <w:rFonts w:ascii="Calibri" w:cs="Calibri" w:eastAsia="Calibri" w:hAnsi="Calibri"/>
                <w:b/>
                <w:bCs/>
                <w:i w:val="false"/>
                <w:iCs w:val="false"/>
                <w:color w:val="FFFFFF"/>
                <w:sz w:val="16"/>
                <w:szCs w:val="16"/>
              </w:rPr>
              <w:t xml:space="preserve">Audit &amp; Inspection Responsibility</w:t>
            </w:r>
          </w:p>
        </w:tc>
      </w:tr>
      <w:tr>
        <w:tc>
          <w:tcPr>
            <w:tcW w:type="dxa" w:w="3200"/>
            <w:shd w:fill="FFFFFF" w:val="clear"/>
            <w:tcMar>
              <w:top w:type="dxa" w:w="80"/>
              <w:left w:type="dxa" w:w="120"/>
              <w:bottom w:type="dxa" w:w="80"/>
              <w:right w:type="dxa" w:w="120"/>
            </w:tcMar>
            <w:vAlign w:val="center"/>
          </w:tcPr>
          <w:p>
            <w:pPr>
              <w:spacing w:after="0"/>
              <w:jc w:val="left"/>
            </w:pPr>
            <w:r>
              <w:rPr>
                <w:rFonts w:ascii="Calibri" w:cs="Calibri" w:eastAsia="Calibri" w:hAnsi="Calibri"/>
                <w:b/>
                <w:bCs/>
                <w:i w:val="false"/>
                <w:iCs w:val="false"/>
                <w:color w:val="1B2A4A"/>
                <w:sz w:val="16"/>
                <w:szCs w:val="16"/>
              </w:rPr>
              <w:t xml:space="preserve">Group CEO / Managing Director</w:t>
            </w:r>
          </w:p>
        </w:tc>
        <w:tc>
          <w:tcPr>
            <w:tcW w:type="dxa" w:w="7800"/>
            <w:shd w:fill="FFFFFF" w:val="clear"/>
            <w:tcMar>
              <w:top w:type="dxa" w:w="80"/>
              <w:left w:type="dxa" w:w="120"/>
              <w:bottom w:type="dxa" w:w="80"/>
              <w:right w:type="dxa" w:w="120"/>
            </w:tcMar>
            <w:vAlign w:val="center"/>
          </w:tcPr>
          <w:p>
            <w:pPr>
              <w:spacing w:after="0"/>
              <w:jc w:val="left"/>
            </w:pPr>
            <w:r>
              <w:rPr>
                <w:rFonts w:ascii="Calibri" w:cs="Calibri" w:eastAsia="Calibri" w:hAnsi="Calibri"/>
                <w:b w:val="false"/>
                <w:bCs w:val="false"/>
                <w:i w:val="false"/>
                <w:iCs w:val="false"/>
                <w:color w:val="1A1A1A"/>
                <w:sz w:val="16"/>
                <w:szCs w:val="16"/>
              </w:rPr>
              <w:t xml:space="preserve">Ultimate accountability for the effectiveness of the Audit &amp; Inspection Programme; escalation point for systemic or unresolved findings.</w:t>
            </w:r>
          </w:p>
        </w:tc>
      </w:tr>
      <w:tr>
        <w:tc>
          <w:tcPr>
            <w:tcW w:type="dxa" w:w="3200"/>
            <w:shd w:fill="E8F2F1" w:val="clear"/>
            <w:tcMar>
              <w:top w:type="dxa" w:w="80"/>
              <w:left w:type="dxa" w:w="120"/>
              <w:bottom w:type="dxa" w:w="80"/>
              <w:right w:type="dxa" w:w="120"/>
            </w:tcMar>
            <w:vAlign w:val="center"/>
          </w:tcPr>
          <w:p>
            <w:pPr>
              <w:spacing w:after="0"/>
              <w:jc w:val="left"/>
            </w:pPr>
            <w:r>
              <w:rPr>
                <w:rFonts w:ascii="Calibri" w:cs="Calibri" w:eastAsia="Calibri" w:hAnsi="Calibri"/>
                <w:b/>
                <w:bCs/>
                <w:i w:val="false"/>
                <w:iCs w:val="false"/>
                <w:color w:val="1B2A4A"/>
                <w:sz w:val="16"/>
                <w:szCs w:val="16"/>
              </w:rPr>
              <w:t xml:space="preserve">Project Director / COO-ED</w:t>
            </w:r>
          </w:p>
        </w:tc>
        <w:tc>
          <w:tcPr>
            <w:tcW w:type="dxa" w:w="7800"/>
            <w:shd w:fill="E8F2F1" w:val="clear"/>
            <w:tcMar>
              <w:top w:type="dxa" w:w="80"/>
              <w:left w:type="dxa" w:w="120"/>
              <w:bottom w:type="dxa" w:w="80"/>
              <w:right w:type="dxa" w:w="120"/>
            </w:tcMar>
            <w:vAlign w:val="center"/>
          </w:tcPr>
          <w:p>
            <w:pPr>
              <w:spacing w:after="0"/>
              <w:jc w:val="left"/>
            </w:pPr>
            <w:r>
              <w:rPr>
                <w:rFonts w:ascii="Calibri" w:cs="Calibri" w:eastAsia="Calibri" w:hAnsi="Calibri"/>
                <w:b w:val="false"/>
                <w:bCs w:val="false"/>
                <w:i w:val="false"/>
                <w:iCs w:val="false"/>
                <w:color w:val="1A1A1A"/>
                <w:sz w:val="16"/>
                <w:szCs w:val="16"/>
              </w:rPr>
              <w:t xml:space="preserve">Ensures the Annual Audit Plan is implemented; reviews audit findings/trends at Management Review.</w:t>
            </w:r>
          </w:p>
        </w:tc>
      </w:tr>
      <w:tr>
        <w:tc>
          <w:tcPr>
            <w:tcW w:type="dxa" w:w="3200"/>
            <w:shd w:fill="FFFFFF" w:val="clear"/>
            <w:tcMar>
              <w:top w:type="dxa" w:w="80"/>
              <w:left w:type="dxa" w:w="120"/>
              <w:bottom w:type="dxa" w:w="80"/>
              <w:right w:type="dxa" w:w="120"/>
            </w:tcMar>
            <w:vAlign w:val="center"/>
          </w:tcPr>
          <w:p>
            <w:pPr>
              <w:spacing w:after="0"/>
              <w:jc w:val="left"/>
            </w:pPr>
            <w:r>
              <w:rPr>
                <w:rFonts w:ascii="Calibri" w:cs="Calibri" w:eastAsia="Calibri" w:hAnsi="Calibri"/>
                <w:b/>
                <w:bCs/>
                <w:i w:val="false"/>
                <w:iCs w:val="false"/>
                <w:color w:val="1B2A4A"/>
                <w:sz w:val="16"/>
                <w:szCs w:val="16"/>
              </w:rPr>
              <w:t xml:space="preserve">QA/QC Manager</w:t>
            </w:r>
          </w:p>
        </w:tc>
        <w:tc>
          <w:tcPr>
            <w:tcW w:type="dxa" w:w="7800"/>
            <w:shd w:fill="FFFFFF" w:val="clear"/>
            <w:tcMar>
              <w:top w:type="dxa" w:w="80"/>
              <w:left w:type="dxa" w:w="120"/>
              <w:bottom w:type="dxa" w:w="80"/>
              <w:right w:type="dxa" w:w="120"/>
            </w:tcMar>
            <w:vAlign w:val="center"/>
          </w:tcPr>
          <w:p>
            <w:pPr>
              <w:spacing w:after="0"/>
              <w:jc w:val="left"/>
            </w:pPr>
            <w:r>
              <w:rPr>
                <w:rFonts w:ascii="Calibri" w:cs="Calibri" w:eastAsia="Calibri" w:hAnsi="Calibri"/>
                <w:b w:val="false"/>
                <w:bCs w:val="false"/>
                <w:i w:val="false"/>
                <w:iCs w:val="false"/>
                <w:color w:val="1A1A1A"/>
                <w:sz w:val="16"/>
                <w:szCs w:val="16"/>
              </w:rPr>
              <w:t xml:space="preserve">Owns the Project Action Tracking System (PATS) for audit-related findings; monitors NCR close-out; coordinates Internal Quality and Subcontractor Audits.</w:t>
            </w:r>
          </w:p>
        </w:tc>
      </w:tr>
      <w:tr>
        <w:tc>
          <w:tcPr>
            <w:tcW w:type="dxa" w:w="3200"/>
            <w:shd w:fill="E8F2F1" w:val="clear"/>
            <w:tcMar>
              <w:top w:type="dxa" w:w="80"/>
              <w:left w:type="dxa" w:w="120"/>
              <w:bottom w:type="dxa" w:w="80"/>
              <w:right w:type="dxa" w:w="120"/>
            </w:tcMar>
            <w:vAlign w:val="center"/>
          </w:tcPr>
          <w:p>
            <w:pPr>
              <w:spacing w:after="0"/>
              <w:jc w:val="left"/>
            </w:pPr>
            <w:r>
              <w:rPr>
                <w:rFonts w:ascii="Calibri" w:cs="Calibri" w:eastAsia="Calibri" w:hAnsi="Calibri"/>
                <w:b/>
                <w:bCs/>
                <w:i w:val="false"/>
                <w:iCs w:val="false"/>
                <w:color w:val="1B2A4A"/>
                <w:sz w:val="16"/>
                <w:szCs w:val="16"/>
              </w:rPr>
              <w:t xml:space="preserve">Project HSE Manager</w:t>
            </w:r>
          </w:p>
        </w:tc>
        <w:tc>
          <w:tcPr>
            <w:tcW w:type="dxa" w:w="7800"/>
            <w:shd w:fill="E8F2F1" w:val="clear"/>
            <w:tcMar>
              <w:top w:type="dxa" w:w="80"/>
              <w:left w:type="dxa" w:w="120"/>
              <w:bottom w:type="dxa" w:w="80"/>
              <w:right w:type="dxa" w:w="120"/>
            </w:tcMar>
            <w:vAlign w:val="center"/>
          </w:tcPr>
          <w:p>
            <w:pPr>
              <w:spacing w:after="0"/>
              <w:jc w:val="left"/>
            </w:pPr>
            <w:r>
              <w:rPr>
                <w:rFonts w:ascii="Calibri" w:cs="Calibri" w:eastAsia="Calibri" w:hAnsi="Calibri"/>
                <w:b w:val="false"/>
                <w:bCs w:val="false"/>
                <w:i w:val="false"/>
                <w:iCs w:val="false"/>
                <w:color w:val="1A1A1A"/>
                <w:sz w:val="16"/>
                <w:szCs w:val="16"/>
              </w:rPr>
              <w:t xml:space="preserve">Owns the HSE-MS Audit Programme and site inspection regime; verifies effectiveness of HSE corrective/preventive actions.</w:t>
            </w:r>
          </w:p>
        </w:tc>
      </w:tr>
      <w:tr>
        <w:tc>
          <w:tcPr>
            <w:tcW w:type="dxa" w:w="3200"/>
            <w:shd w:fill="FFFFFF" w:val="clear"/>
            <w:tcMar>
              <w:top w:type="dxa" w:w="80"/>
              <w:left w:type="dxa" w:w="120"/>
              <w:bottom w:type="dxa" w:w="80"/>
              <w:right w:type="dxa" w:w="120"/>
            </w:tcMar>
            <w:vAlign w:val="center"/>
          </w:tcPr>
          <w:p>
            <w:pPr>
              <w:spacing w:after="0"/>
              <w:jc w:val="left"/>
            </w:pPr>
            <w:r>
              <w:rPr>
                <w:rFonts w:ascii="Calibri" w:cs="Calibri" w:eastAsia="Calibri" w:hAnsi="Calibri"/>
                <w:b/>
                <w:bCs/>
                <w:i w:val="false"/>
                <w:iCs w:val="false"/>
                <w:color w:val="1B2A4A"/>
                <w:sz w:val="16"/>
                <w:szCs w:val="16"/>
              </w:rPr>
              <w:t xml:space="preserve">Lead Auditor (assigned per audit)</w:t>
            </w:r>
          </w:p>
        </w:tc>
        <w:tc>
          <w:tcPr>
            <w:tcW w:type="dxa" w:w="7800"/>
            <w:shd w:fill="FFFFFF" w:val="clear"/>
            <w:tcMar>
              <w:top w:type="dxa" w:w="80"/>
              <w:left w:type="dxa" w:w="120"/>
              <w:bottom w:type="dxa" w:w="80"/>
              <w:right w:type="dxa" w:w="120"/>
            </w:tcMar>
            <w:vAlign w:val="center"/>
          </w:tcPr>
          <w:p>
            <w:pPr>
              <w:spacing w:after="0"/>
              <w:jc w:val="left"/>
            </w:pPr>
            <w:r>
              <w:rPr>
                <w:rFonts w:ascii="Calibri" w:cs="Calibri" w:eastAsia="Calibri" w:hAnsi="Calibri"/>
                <w:b w:val="false"/>
                <w:bCs w:val="false"/>
                <w:i w:val="false"/>
                <w:iCs w:val="false"/>
                <w:color w:val="1A1A1A"/>
                <w:sz w:val="16"/>
                <w:szCs w:val="16"/>
              </w:rPr>
              <w:t xml:space="preserve">Plans and conducts the audit, chairs opening/closing meetings, authorises acceptance/rejection of Corrective Actions for internal HSE issues.</w:t>
            </w:r>
          </w:p>
        </w:tc>
      </w:tr>
      <w:tr>
        <w:tc>
          <w:tcPr>
            <w:tcW w:type="dxa" w:w="3200"/>
            <w:shd w:fill="E8F2F1" w:val="clear"/>
            <w:tcMar>
              <w:top w:type="dxa" w:w="80"/>
              <w:left w:type="dxa" w:w="120"/>
              <w:bottom w:type="dxa" w:w="80"/>
              <w:right w:type="dxa" w:w="120"/>
            </w:tcMar>
            <w:vAlign w:val="center"/>
          </w:tcPr>
          <w:p>
            <w:pPr>
              <w:spacing w:after="0"/>
              <w:jc w:val="left"/>
            </w:pPr>
            <w:r>
              <w:rPr>
                <w:rFonts w:ascii="Calibri" w:cs="Calibri" w:eastAsia="Calibri" w:hAnsi="Calibri"/>
                <w:b/>
                <w:bCs/>
                <w:i w:val="false"/>
                <w:iCs w:val="false"/>
                <w:color w:val="1B2A4A"/>
                <w:sz w:val="16"/>
                <w:szCs w:val="16"/>
              </w:rPr>
              <w:t xml:space="preserve">Site Supervisors / HSE Officers</w:t>
            </w:r>
          </w:p>
        </w:tc>
        <w:tc>
          <w:tcPr>
            <w:tcW w:type="dxa" w:w="7800"/>
            <w:shd w:fill="E8F2F1" w:val="clear"/>
            <w:tcMar>
              <w:top w:type="dxa" w:w="80"/>
              <w:left w:type="dxa" w:w="120"/>
              <w:bottom w:type="dxa" w:w="80"/>
              <w:right w:type="dxa" w:w="120"/>
            </w:tcMar>
            <w:vAlign w:val="center"/>
          </w:tcPr>
          <w:p>
            <w:pPr>
              <w:spacing w:after="0"/>
              <w:jc w:val="left"/>
            </w:pPr>
            <w:r>
              <w:rPr>
                <w:rFonts w:ascii="Calibri" w:cs="Calibri" w:eastAsia="Calibri" w:hAnsi="Calibri"/>
                <w:b w:val="false"/>
                <w:bCs w:val="false"/>
                <w:i w:val="false"/>
                <w:iCs w:val="false"/>
                <w:color w:val="1A1A1A"/>
                <w:sz w:val="16"/>
                <w:szCs w:val="16"/>
              </w:rPr>
              <w:t xml:space="preserve">Conduct daily/weekly/monthly site inspections; raise findings; implement corrective actions within their area.</w:t>
            </w:r>
          </w:p>
        </w:tc>
      </w:tr>
      <w:tr>
        <w:tc>
          <w:tcPr>
            <w:tcW w:type="dxa" w:w="3200"/>
            <w:shd w:fill="FFFFFF" w:val="clear"/>
            <w:tcMar>
              <w:top w:type="dxa" w:w="80"/>
              <w:left w:type="dxa" w:w="120"/>
              <w:bottom w:type="dxa" w:w="80"/>
              <w:right w:type="dxa" w:w="120"/>
            </w:tcMar>
            <w:vAlign w:val="center"/>
          </w:tcPr>
          <w:p>
            <w:pPr>
              <w:spacing w:after="0"/>
              <w:jc w:val="left"/>
            </w:pPr>
            <w:r>
              <w:rPr>
                <w:rFonts w:ascii="Calibri" w:cs="Calibri" w:eastAsia="Calibri" w:hAnsi="Calibri"/>
                <w:b/>
                <w:bCs/>
                <w:i w:val="false"/>
                <w:iCs w:val="false"/>
                <w:color w:val="1B2A4A"/>
                <w:sz w:val="16"/>
                <w:szCs w:val="16"/>
              </w:rPr>
              <w:t xml:space="preserve">Auditee (Department / Site / Subcontractor)</w:t>
            </w:r>
          </w:p>
        </w:tc>
        <w:tc>
          <w:tcPr>
            <w:tcW w:type="dxa" w:w="7800"/>
            <w:shd w:fill="FFFFFF" w:val="clear"/>
            <w:tcMar>
              <w:top w:type="dxa" w:w="80"/>
              <w:left w:type="dxa" w:w="120"/>
              <w:bottom w:type="dxa" w:w="80"/>
              <w:right w:type="dxa" w:w="120"/>
            </w:tcMar>
            <w:vAlign w:val="center"/>
          </w:tcPr>
          <w:p>
            <w:pPr>
              <w:spacing w:after="0"/>
              <w:jc w:val="left"/>
            </w:pPr>
            <w:r>
              <w:rPr>
                <w:rFonts w:ascii="Calibri" w:cs="Calibri" w:eastAsia="Calibri" w:hAnsi="Calibri"/>
                <w:b w:val="false"/>
                <w:bCs w:val="false"/>
                <w:i w:val="false"/>
                <w:iCs w:val="false"/>
                <w:color w:val="1A1A1A"/>
                <w:sz w:val="16"/>
                <w:szCs w:val="16"/>
              </w:rPr>
              <w:t xml:space="preserve">Provides access to records, personnel and facilities; implements assigned Corrective Actions by the target date.</w:t>
            </w:r>
          </w:p>
        </w:tc>
      </w:tr>
    </w:tbl>
    <w:p>
      <w:pPr>
        <w:pStyle w:val="Heading1"/>
        <w:pBdr>
          <w:bottom w:val="single" w:color="0F6C6C" w:sz="8" w:space="4"/>
        </w:pBdr>
        <w:spacing w:after="160" w:before="360"/>
      </w:pPr>
      <w:r>
        <w:rPr>
          <w:rFonts w:ascii="Calibri" w:cs="Calibri" w:eastAsia="Calibri" w:hAnsi="Calibri"/>
          <w:b/>
          <w:bCs/>
          <w:color w:val="1B2A4A"/>
          <w:sz w:val="28"/>
          <w:szCs w:val="28"/>
        </w:rPr>
        <w:t xml:space="preserve">12.0  Approval</w:t>
      </w:r>
    </w:p>
    <w:p>
      <w:pPr>
        <w:spacing w:after="120"/>
      </w:pPr>
      <w:r>
        <w:rPr>
          <w:rFonts w:ascii="Calibri" w:cs="Calibri" w:eastAsia="Calibri" w:hAnsi="Calibri"/>
          <w:color w:val="1A1A1A"/>
          <w:sz w:val="20"/>
          <w:szCs w:val="20"/>
        </w:rPr>
        <w:t xml:space="preserve">This SWDA HSE Audit &amp; Inspection Procedure has been reviewed for completeness and consistency with the SWDA HSE Management System and Quality Management System, and is submitted for approval as the governing audit and inspection framework applicable across SWDA's project portfolio.</w:t>
      </w:r>
    </w:p>
    <w:p>
      <w:pPr>
        <w:spacing w:after="100" w:before="600"/>
      </w:pPr>
      <w:r>
        <w:rPr>
          <w:rFonts w:ascii="Calibri" w:cs="Calibri" w:eastAsia="Calibri" w:hAnsi="Calibri"/>
          <w:b/>
          <w:bCs/>
          <w:color w:val="1B2A4A"/>
          <w:sz w:val="20"/>
          <w:szCs w:val="20"/>
        </w:rPr>
        <w:t xml:space="preserve">Approved by:</w:t>
      </w:r>
    </w:p>
    <w:p>
      <w:pPr>
        <w:spacing w:after="60" w:before="500"/>
      </w:pPr>
      <w:r>
        <w:rPr>
          <w:rFonts w:ascii="Calibri" w:cs="Calibri" w:eastAsia="Calibri" w:hAnsi="Calibri"/>
          <w:sz w:val="20"/>
          <w:szCs w:val="20"/>
        </w:rPr>
        <w:t xml:space="preserve">____________________________________________</w:t>
      </w:r>
    </w:p>
    <w:p>
      <w:pPr>
        <w:spacing w:after="40"/>
      </w:pPr>
      <w:r>
        <w:rPr>
          <w:rFonts w:ascii="Calibri" w:cs="Calibri" w:eastAsia="Calibri" w:hAnsi="Calibri"/>
          <w:b/>
          <w:bCs/>
          <w:sz w:val="20"/>
          <w:szCs w:val="20"/>
        </w:rPr>
        <w:t xml:space="preserve">Gliffeth Wonuigwe</w:t>
      </w:r>
    </w:p>
    <w:p>
      <w:pPr>
        <w:spacing w:after="40"/>
      </w:pPr>
      <w:r>
        <w:rPr>
          <w:rFonts w:ascii="Calibri" w:cs="Calibri" w:eastAsia="Calibri" w:hAnsi="Calibri"/>
          <w:i/>
          <w:iCs/>
          <w:sz w:val="19"/>
          <w:szCs w:val="19"/>
        </w:rPr>
        <w:t xml:space="preserve">Group Chief Executive Officer / Managing Director</w:t>
      </w:r>
    </w:p>
    <w:p>
      <w:pPr>
        <w:spacing w:after="40"/>
      </w:pPr>
      <w:r>
        <w:rPr>
          <w:rFonts w:ascii="Calibri" w:cs="Calibri" w:eastAsia="Calibri" w:hAnsi="Calibri"/>
          <w:i/>
          <w:iCs/>
          <w:sz w:val="19"/>
          <w:szCs w:val="19"/>
        </w:rPr>
        <w:t xml:space="preserve">South West Design Africa Limited (SWDA)</w:t>
      </w:r>
    </w:p>
    <w:p>
      <w:pPr>
        <w:spacing w:after="40" w:before="300"/>
      </w:pPr>
      <w:r>
        <w:rPr>
          <w:rFonts w:ascii="Calibri" w:cs="Calibri" w:eastAsia="Calibri" w:hAnsi="Calibri"/>
          <w:sz w:val="20"/>
          <w:szCs w:val="20"/>
        </w:rPr>
        <w:t xml:space="preserve">Date: ____________________________</w:t>
      </w:r>
    </w:p>
    <w:sectPr>
      <w:headerReference w:type="default" r:id="rId9"/>
      <w:footerReference w:type="default" r:id="rId10"/>
      <w:pgSz w:w="12240" w:h="15840" w:orient="portrait"/>
      <w:pgMar w:top="1260" w:right="1080" w:bottom="126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0F6C6C" w:sz="6" w:space="4"/>
      </w:pBdr>
      <w:tabs>
        <w:tab w:val="center" w:pos="4513"/>
        <w:tab w:val="right" w:pos="9026"/>
      </w:tabs>
    </w:pPr>
    <w:r>
      <w:rPr>
        <w:rFonts w:ascii="Calibri" w:cs="Calibri" w:eastAsia="Calibri" w:hAnsi="Calibri"/>
        <w:color w:val="1A1A1A"/>
        <w:sz w:val="15"/>
        <w:szCs w:val="15"/>
      </w:rPr>
      <w:t xml:space="preserve">Rev. 0 – 05 August 2026</w:t>
    </w:r>
    <w:r>
      <w:rPr>
        <w:rFonts w:ascii="Calibri" w:cs="Calibri" w:eastAsia="Calibri" w:hAnsi="Calibri"/>
        <w:color w:val="1A1A1A"/>
        <w:sz w:val="15"/>
        <w:szCs w:val="15"/>
      </w:rPr>
      <w:t xml:space="preserve">	CONFIDENTIAL – CORPORATE / PROJECT CONTROLLED DOCUMENT</w:t>
    </w:r>
    <w:r>
      <w:rPr>
        <w:rFonts w:ascii="Calibri" w:cs="Calibri" w:eastAsia="Calibri" w:hAnsi="Calibri"/>
        <w:sz w:val="15"/>
        <w:szCs w:val="15"/>
      </w:rPr>
      <w:t xml:space="preserve">	</w:t>
    </w:r>
    <w:r>
      <w:rPr>
        <w:rFonts w:ascii="Calibri" w:cs="Calibri" w:eastAsia="Calibri" w:hAnsi="Calibri"/>
        <w:color w:val="1A1A1A"/>
        <w:sz w:val="15"/>
        <w:szCs w:val="15"/>
      </w:rPr>
      <w:t xml:space="preserve">Page </w:t>
    </w:r>
    <w:r>
      <w:rPr>
        <w:rFonts w:ascii="Calibri" w:cs="Calibri" w:eastAsia="Calibri" w:hAnsi="Calibri"/>
        <w:color w:val="1A1A1A"/>
        <w:sz w:val="15"/>
        <w:szCs w:val="15"/>
      </w:rPr>
      <w:fldChar w:fldCharType="begin"/>
      <w:instrText xml:space="preserve">PAGE</w:instrText>
      <w:fldChar w:fldCharType="separate"/>
      <w:fldChar w:fldCharType="end"/>
    </w:r>
    <w:r>
      <w:rPr>
        <w:rFonts w:ascii="Calibri" w:cs="Calibri" w:eastAsia="Calibri" w:hAnsi="Calibri"/>
        <w:color w:val="1A1A1A"/>
        <w:sz w:val="15"/>
        <w:szCs w:val="15"/>
      </w:rPr>
      <w:t xml:space="preserve"> of </w:t>
    </w:r>
    <w:r>
      <w:rPr>
        <w:rFonts w:ascii="Calibri" w:cs="Calibri" w:eastAsia="Calibri" w:hAnsi="Calibri"/>
        <w:color w:val="1A1A1A"/>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F6C6C" w:sz="6" w:space="4"/>
      </w:pBdr>
      <w:tabs>
        <w:tab w:val="right" w:pos="9026"/>
      </w:tabs>
    </w:pPr>
    <w:r>
      <w:rPr>
        <w:rFonts w:ascii="Calibri" w:cs="Calibri" w:eastAsia="Calibri" w:hAnsi="Calibri"/>
        <w:b/>
        <w:bCs/>
        <w:color w:val="1B2A4A"/>
        <w:sz w:val="16"/>
        <w:szCs w:val="16"/>
      </w:rPr>
      <w:t xml:space="preserve">SWDA HSE Audit &amp; Inspection Procedure</w:t>
    </w:r>
    <w:r>
      <w:rPr>
        <w:rFonts w:ascii="Calibri" w:cs="Calibri" w:eastAsia="Calibri" w:hAnsi="Calibri"/>
        <w:color w:val="0F6C6C"/>
        <w:sz w:val="15"/>
        <w:szCs w:val="15"/>
      </w:rPr>
      <w:t xml:space="preserve">	SWDA-2026-CORP-002-HAIP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2026-08-05T15:20:28.498Z</dcterms:created>
  <dcterms:modified xsi:type="dcterms:W3CDTF">2026-08-05T15:20:28.498Z</dcterms:modified>
</cp:coreProperties>
</file>

<file path=docProps/custom.xml><?xml version="1.0" encoding="utf-8"?>
<Properties xmlns="http://schemas.openxmlformats.org/officeDocument/2006/custom-properties" xmlns:vt="http://schemas.openxmlformats.org/officeDocument/2006/docPropsVTypes"/>
</file>