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00"/>
      </w:pPr>
      <w:r>
        <w:rPr>
          <w:rFonts w:ascii="Calibri" w:cs="Calibri" w:eastAsia="Calibri" w:hAnsi="Calibri"/>
          <w:color w:val="1A1A1A"/>
          <w:sz w:val="20"/>
          <w:szCs w:val="20"/>
        </w:rPr>
        <w:t xml:space="preserve"/>
      </w:r>
    </w:p>
    <w:p>
      <w:pPr>
        <w:pBdr>
          <w:bottom w:val="single" w:color="B8944F" w:sz="12" w:space="10"/>
        </w:pBdr>
        <w:spacing w:after="0" w:before="300"/>
        <w:jc w:val="center"/>
      </w:pPr>
      <w:r>
        <w:rPr>
          <w:rFonts w:ascii="Calibri" w:cs="Calibri" w:eastAsia="Calibri" w:hAnsi="Calibri"/>
          <w:b/>
          <w:bCs/>
          <w:color w:val="1B2A4A"/>
          <w:sz w:val="32"/>
          <w:szCs w:val="32"/>
        </w:rPr>
        <w:t xml:space="preserve">SOUTH WEST DESIGN AFRICA LIMITED</w:t>
      </w:r>
    </w:p>
    <w:p>
      <w:pPr>
        <w:spacing w:after="360" w:before="120"/>
        <w:jc w:val="center"/>
      </w:pPr>
      <w:r>
        <w:rPr>
          <w:rFonts w:ascii="Calibri" w:cs="Calibri" w:eastAsia="Calibri" w:hAnsi="Calibri"/>
          <w:i/>
          <w:iCs/>
          <w:color w:val="0F6C6C"/>
          <w:sz w:val="20"/>
          <w:szCs w:val="20"/>
        </w:rPr>
        <w:t xml:space="preserve">HSE &amp; Project Compliance Documentation</w:t>
      </w:r>
    </w:p>
    <w:p>
      <w:pPr>
        <w:spacing w:after="200" w:before="500"/>
        <w:jc w:val="center"/>
      </w:pPr>
      <w:r>
        <w:rPr>
          <w:rFonts w:ascii="Calibri" w:cs="Calibri" w:eastAsia="Calibri" w:hAnsi="Calibri"/>
          <w:b/>
          <w:bCs/>
          <w:color w:val="1B2A4A"/>
          <w:sz w:val="44"/>
          <w:szCs w:val="44"/>
        </w:rPr>
        <w:t xml:space="preserve">SWDA ORGANIZATION &amp; PAST PROJECT TRAINING PLAN &amp; COMPETENCY MATRIX</w:t>
      </w:r>
    </w:p>
    <w:p>
      <w:pPr>
        <w:spacing w:after="400" w:before="0"/>
        <w:jc w:val="center"/>
      </w:pPr>
      <w:r>
        <w:rPr>
          <w:rFonts w:ascii="Calibri" w:cs="Calibri" w:eastAsia="Calibri" w:hAnsi="Calibri"/>
          <w:color w:val="0F6C6C"/>
          <w:sz w:val="22"/>
          <w:szCs w:val="22"/>
        </w:rPr>
        <w:t xml:space="preserve">Corporate Training Framework • Front Puffin FPSO (2023) • Utorogu Well Intervention (2023–2024) • Chevron Agbami FPSO (2024–2025)</w:t>
      </w:r>
    </w:p>
    <w:p>
      <w:pPr>
        <w:spacing w:after="100" w:before="100"/>
        <w:jc w:val="center"/>
      </w:pPr>
      <w:r>
        <w:rPr>
          <w:rFonts w:ascii="Calibri" w:cs="Calibri" w:eastAsia="Calibri" w:hAnsi="Calibri"/>
          <w:b/>
          <w:bCs/>
          <w:color w:val="1A1A1A"/>
          <w:sz w:val="24"/>
          <w:szCs w:val="24"/>
        </w:rPr>
        <w:t xml:space="preserve">South West Design Africa Limited – Corporate &amp; Past Project Portfolio</w:t>
      </w:r>
    </w:p>
    <w:p>
      <w:pPr>
        <w:spacing w:after="100" w:before="0"/>
        <w:jc w:val="center"/>
      </w:pPr>
      <w:r>
        <w:rPr>
          <w:rFonts w:ascii="Calibri" w:cs="Calibri" w:eastAsia="Calibri" w:hAnsi="Calibri"/>
          <w:color w:val="1A1A1A"/>
          <w:sz w:val="20"/>
          <w:szCs w:val="20"/>
        </w:rPr>
        <w:t xml:space="preserve">Reference Portfolio: OML 34 Well Interventions • Front Puffin FPSO • Chevron Agbami FPSO 4th Campaign</w:t>
      </w:r>
    </w:p>
    <w:p>
      <w:pPr>
        <w:spacing w:after="320" w:before="0"/>
        <w:jc w:val="center"/>
      </w:pPr>
      <w:r>
        <w:rPr>
          <w:rFonts w:ascii="Calibri" w:cs="Calibri" w:eastAsia="Calibri" w:hAnsi="Calibri"/>
          <w:color w:val="1A1A1A"/>
          <w:sz w:val="20"/>
          <w:szCs w:val="20"/>
        </w:rPr>
        <w:t xml:space="preserve">Client: NEPL / Chevron / Front Puffin FPSO Operator (past engagements)    |    Contractor: South West Design Africa Limited (SWDA)</w:t>
      </w:r>
    </w:p>
    <w:tbl>
      <w:tblPr>
        <w:tblW w:type="dxa" w:w="8500"/>
        <w:jc w:val="center"/>
        <w:tblBorders>
          <w:top w:val="single" w:color="auto" w:sz="4"/>
          <w:left w:val="single" w:color="auto" w:sz="4"/>
          <w:bottom w:val="single" w:color="auto" w:sz="4"/>
          <w:right w:val="single" w:color="auto" w:sz="4"/>
          <w:insideH w:val="single" w:color="auto" w:sz="4"/>
          <w:insideV w:val="single" w:color="auto" w:sz="4"/>
        </w:tblBorders>
      </w:tblPr>
      <w:tblGrid>
        <w:gridCol w:w="3000"/>
        <w:gridCol w:w="5500"/>
      </w:tblGrid>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No.</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SWDA-2026-CORP-001-TPCM-PP</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Revision</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Rev. 0</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Issue Date</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05 August 2026</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Status</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Issued for Approval</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Classification</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Corporate &amp; Project Controlled Document – HSE / Training</w:t>
            </w:r>
          </w:p>
        </w:tc>
      </w:tr>
    </w:tbl>
    <w:p>
      <w:pPr>
        <w:spacing w:after="100" w:before="200"/>
      </w:pPr>
      <w:r>
        <w:rPr>
          <w:rFonts w:ascii="Calibri" w:cs="Calibri" w:eastAsia="Calibri" w:hAnsi="Calibri"/>
          <w:color w:val="1A1A1A"/>
          <w:sz w:val="20"/>
          <w:szCs w:val="20"/>
        </w:rPr>
        <w:t xml:space="preserve"/>
      </w:r>
    </w:p>
    <w:p>
      <w:pPr>
        <w:spacing w:before="600"/>
        <w:jc w:val="center"/>
      </w:pPr>
      <w:r>
        <w:rPr>
          <w:rFonts w:ascii="Calibri" w:cs="Calibri" w:eastAsia="Calibri" w:hAnsi="Calibri"/>
          <w:i/>
          <w:iCs/>
          <w:color w:val="1A1A1A"/>
          <w:sz w:val="18"/>
          <w:szCs w:val="18"/>
        </w:rPr>
        <w:t xml:space="preserve">Prepared by the SWDA Project QA/QC &amp; HSE Team</w:t>
      </w:r>
    </w:p>
    <w:p>
      <w:pPr>
        <w:spacing w:before="80"/>
        <w:jc w:val="center"/>
      </w:pPr>
      <w:r>
        <w:rPr>
          <w:rFonts w:ascii="Calibri" w:cs="Calibri" w:eastAsia="Calibri" w:hAnsi="Calibri"/>
          <w:i/>
          <w:iCs/>
          <w:color w:val="1A1A1A"/>
          <w:sz w:val="18"/>
          <w:szCs w:val="18"/>
        </w:rPr>
        <w:t xml:space="preserve">For Review and Approval by SWDA Executive Management</w:t>
      </w:r>
    </w:p>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0.0  Document Control</w:t>
      </w:r>
    </w:p>
    <w:p>
      <w:pPr>
        <w:pStyle w:val="Heading2"/>
        <w:spacing w:after="120" w:before="280"/>
      </w:pPr>
      <w:r>
        <w:rPr>
          <w:rFonts w:ascii="Calibri" w:cs="Calibri" w:eastAsia="Calibri" w:hAnsi="Calibri"/>
          <w:b/>
          <w:bCs/>
          <w:color w:val="0F6C6C"/>
          <w:sz w:val="24"/>
          <w:szCs w:val="24"/>
        </w:rPr>
        <w:t xml:space="preserve">0.1  Revision History</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2400"/>
        <w:gridCol w:w="2200"/>
        <w:gridCol w:w="1700"/>
      </w:tblGrid>
      <w:tr>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Revision No</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Description</w:t>
            </w:r>
          </w:p>
        </w:tc>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Prepared By</w:t>
            </w:r>
          </w:p>
        </w:tc>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Reviewed / Approved By</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 &amp; Date</w:t>
            </w:r>
          </w:p>
        </w:tc>
      </w:tr>
      <w:tr>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0</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Issued for Approval – SWDA Organization &amp; Past Project Training Plan &amp; Competency Matrix, covering the corporate training framework and the Front Puffin FPSO, Utorogu Well Intervention, and Chevron Agbami FPSO past engagements</w:t>
            </w:r>
          </w:p>
        </w:tc>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SWDA QA/QC &amp; HSE Team</w:t>
            </w:r>
          </w:p>
        </w:tc>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Engr. Norton Ned Jessup, P.E.</w:t>
            </w:r>
          </w:p>
        </w:tc>
        <w:tc>
          <w:tcPr>
            <w:tcW w:type="dxa" w:w="1700"/>
            <w:tcBorders>
              <w:top w:val="dashed" w:color="9AA5B1" w:sz="6"/>
              <w:left w:val="dashed" w:color="9AA5B1" w:sz="6"/>
              <w:bottom w:val="dashed" w:color="9AA5B1" w:sz="6"/>
              <w:right w:val="dashed" w:color="9AA5B1" w:sz="6"/>
            </w:tcBorders>
            <w:shd w:fill="FFFFFF" w:val="clear"/>
            <w:tcMar>
              <w:top w:type="dxa" w:w="80"/>
              <w:left w:type="dxa" w:w="100"/>
              <w:bottom w:type="dxa" w:w="80"/>
              <w:right w:type="dxa" w:w="100"/>
            </w:tcMar>
            <w:vAlign w:val="center"/>
          </w:tcPr>
          <w:p>
            <w:pPr>
              <w:spacing w:after="30"/>
              <w:jc w:val="center"/>
            </w:pPr>
            <w:r>
              <w:rPr>
                <w:rFonts w:ascii="Calibri" w:cs="Calibri" w:eastAsia="Calibri" w:hAnsi="Calibri"/>
                <w:i/>
                <w:iCs/>
                <w:color w:val="8A94A3"/>
                <w:sz w:val="14"/>
                <w:szCs w:val="14"/>
              </w:rPr>
              <w:t xml:space="preserve">[Signature]</w:t>
            </w:r>
          </w:p>
          <w:p>
            <w:pPr>
              <w:spacing w:after="0"/>
              <w:jc w:val="center"/>
            </w:pPr>
            <w:r>
              <w:rPr>
                <w:rFonts w:ascii="Calibri" w:cs="Calibri" w:eastAsia="Calibri" w:hAnsi="Calibri"/>
                <w:i/>
                <w:iCs/>
                <w:color w:val="8A94A3"/>
                <w:sz w:val="14"/>
                <w:szCs w:val="14"/>
              </w:rPr>
              <w:t xml:space="preserve">[Date]</w:t>
            </w:r>
          </w:p>
        </w:tc>
      </w:tr>
    </w:tbl>
    <w:p>
      <w:pPr>
        <w:spacing w:after="200" w:before="3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0.2  Approval</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gridCol w:w="1800"/>
      </w:tblGrid>
      <w:tr>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Originated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Checked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Approved By</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w:t>
            </w:r>
          </w:p>
        </w:tc>
      </w:tr>
      <w:tr>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Engr. Norton Ned Jessup, P.E.</w:t>
            </w:r>
          </w:p>
          <w:p>
            <w:pPr>
              <w:spacing w:after="40"/>
              <w:jc w:val="center"/>
            </w:pPr>
            <w:r>
              <w:rPr>
                <w:rFonts w:ascii="Calibri" w:cs="Calibri" w:eastAsia="Calibri" w:hAnsi="Calibri"/>
                <w:b w:val="false"/>
                <w:bCs w:val="false"/>
                <w:i/>
                <w:iCs/>
                <w:color w:val="1A1A1A"/>
                <w:sz w:val="15"/>
                <w:szCs w:val="15"/>
              </w:rPr>
              <w:t xml:space="preserve">Chief Operating Officer / Executive Director &amp; Project Director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WT/MI</w:t>
            </w:r>
          </w:p>
          <w:p>
            <w:pPr>
              <w:spacing w:after="40"/>
              <w:jc w:val="center"/>
            </w:pPr>
            <w:r>
              <w:rPr>
                <w:rFonts w:ascii="Calibri" w:cs="Calibri" w:eastAsia="Calibri" w:hAnsi="Calibri"/>
                <w:b w:val="false"/>
                <w:bCs w:val="false"/>
                <w:i/>
                <w:iCs/>
                <w:color w:val="1A1A1A"/>
                <w:sz w:val="15"/>
                <w:szCs w:val="15"/>
              </w:rPr>
              <w:t xml:space="preserve">Checker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Gliffeth Wonuigwe</w:t>
            </w:r>
          </w:p>
          <w:p>
            <w:pPr>
              <w:spacing w:after="40"/>
              <w:jc w:val="center"/>
            </w:pPr>
            <w:r>
              <w:rPr>
                <w:rFonts w:ascii="Calibri" w:cs="Calibri" w:eastAsia="Calibri" w:hAnsi="Calibri"/>
                <w:b w:val="false"/>
                <w:bCs w:val="false"/>
                <w:i/>
                <w:iCs/>
                <w:color w:val="1A1A1A"/>
                <w:sz w:val="15"/>
                <w:szCs w:val="15"/>
              </w:rPr>
              <w:t xml:space="preserve">Group Chief Executive Officer / Managing Director</w:t>
            </w:r>
          </w:p>
        </w:tc>
        <w:tc>
          <w:tcPr>
            <w:tcW w:type="dxa" w:w="1800"/>
            <w:tcBorders>
              <w:top w:val="dashed" w:color="9AA5B1" w:sz="6"/>
              <w:left w:val="dashed" w:color="9AA5B1" w:sz="6"/>
              <w:bottom w:val="dashed" w:color="9AA5B1" w:sz="6"/>
              <w:right w:val="dashed" w:color="9AA5B1" w:sz="6"/>
            </w:tcBorders>
            <w:shd w:fill="FFFFFF" w:val="clear"/>
            <w:tcMar>
              <w:top w:type="dxa" w:w="700"/>
              <w:left w:type="dxa" w:w="120"/>
              <w:bottom w:type="dxa" w:w="200"/>
              <w:right w:type="dxa" w:w="120"/>
            </w:tcMar>
            <w:vAlign w:val="center"/>
          </w:tcPr>
          <w:p>
            <w:pPr>
              <w:spacing w:after="30"/>
              <w:jc w:val="center"/>
            </w:pPr>
            <w:r>
              <w:rPr>
                <w:rFonts w:ascii="Calibri" w:cs="Calibri" w:eastAsia="Calibri" w:hAnsi="Calibri"/>
                <w:i/>
                <w:iCs/>
                <w:color w:val="8A94A3"/>
                <w:sz w:val="15"/>
                <w:szCs w:val="15"/>
              </w:rPr>
              <w:t xml:space="preserve">[Insert Signature]</w:t>
            </w:r>
          </w:p>
          <w:p>
            <w:pPr>
              <w:spacing w:after="0"/>
              <w:jc w:val="center"/>
            </w:pPr>
            <w:r>
              <w:rPr>
                <w:rFonts w:ascii="Calibri" w:cs="Calibri" w:eastAsia="Calibri" w:hAnsi="Calibri"/>
                <w:i/>
                <w:iCs/>
                <w:color w:val="8A94A3"/>
                <w:sz w:val="15"/>
                <w:szCs w:val="15"/>
              </w:rPr>
              <w:t xml:space="preserve">Date: __________</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Table of Contents</w:t>
      </w:r>
    </w:p>
    <w:p>
      <w:pPr>
        <w:tabs>
          <w:tab w:val="right" w:pos="9026" w:leader="dot"/>
        </w:tabs>
        <w:spacing w:after="140"/>
      </w:pPr>
      <w:r>
        <w:rPr>
          <w:rFonts w:ascii="Calibri" w:cs="Calibri" w:eastAsia="Calibri" w:hAnsi="Calibri"/>
          <w:color w:val="1A1A1A"/>
          <w:sz w:val="21"/>
          <w:szCs w:val="21"/>
        </w:rPr>
        <w:t xml:space="preserve">0.0  Document Control</w:t>
      </w:r>
      <w:r>
        <w:rPr>
          <w:rFonts w:ascii="Calibri" w:cs="Calibri" w:eastAsia="Calibri" w:hAnsi="Calibri"/>
          <w:color w:val="1A1A1A"/>
          <w:sz w:val="21"/>
          <w:szCs w:val="21"/>
        </w:rPr>
        <w:t xml:space="preserve">	2</w:t>
      </w:r>
    </w:p>
    <w:p>
      <w:pPr>
        <w:tabs>
          <w:tab w:val="right" w:pos="9026" w:leader="dot"/>
        </w:tabs>
        <w:spacing w:after="140"/>
      </w:pPr>
      <w:r>
        <w:rPr>
          <w:rFonts w:ascii="Calibri" w:cs="Calibri" w:eastAsia="Calibri" w:hAnsi="Calibri"/>
          <w:color w:val="1A1A1A"/>
          <w:sz w:val="21"/>
          <w:szCs w:val="21"/>
        </w:rPr>
        <w:t xml:space="preserve">1.0  Introduction &amp; Purpose</w:t>
      </w:r>
      <w:r>
        <w:rPr>
          <w:rFonts w:ascii="Calibri" w:cs="Calibri" w:eastAsia="Calibri" w:hAnsi="Calibri"/>
          <w:color w:val="1A1A1A"/>
          <w:sz w:val="21"/>
          <w:szCs w:val="21"/>
        </w:rPr>
        <w:t xml:space="preserve">	4</w:t>
      </w:r>
    </w:p>
    <w:p>
      <w:pPr>
        <w:tabs>
          <w:tab w:val="right" w:pos="9026" w:leader="dot"/>
        </w:tabs>
        <w:spacing w:after="140"/>
      </w:pPr>
      <w:r>
        <w:rPr>
          <w:rFonts w:ascii="Calibri" w:cs="Calibri" w:eastAsia="Calibri" w:hAnsi="Calibri"/>
          <w:color w:val="1A1A1A"/>
          <w:sz w:val="21"/>
          <w:szCs w:val="21"/>
        </w:rPr>
        <w:t xml:space="preserve">2.0  Organizational Training &amp; Competency Framework</w:t>
      </w:r>
      <w:r>
        <w:rPr>
          <w:rFonts w:ascii="Calibri" w:cs="Calibri" w:eastAsia="Calibri" w:hAnsi="Calibri"/>
          <w:color w:val="1A1A1A"/>
          <w:sz w:val="21"/>
          <w:szCs w:val="21"/>
        </w:rPr>
        <w:t xml:space="preserve">	4</w:t>
      </w:r>
    </w:p>
    <w:p>
      <w:pPr>
        <w:tabs>
          <w:tab w:val="right" w:pos="9026" w:leader="dot"/>
        </w:tabs>
        <w:spacing w:after="140"/>
      </w:pPr>
      <w:r>
        <w:rPr>
          <w:rFonts w:ascii="Calibri" w:cs="Calibri" w:eastAsia="Calibri" w:hAnsi="Calibri"/>
          <w:color w:val="1A1A1A"/>
          <w:sz w:val="21"/>
          <w:szCs w:val="21"/>
        </w:rPr>
        <w:t xml:space="preserve">3.0  Past Project Portfolio Overview</w:t>
      </w:r>
      <w:r>
        <w:rPr>
          <w:rFonts w:ascii="Calibri" w:cs="Calibri" w:eastAsia="Calibri" w:hAnsi="Calibri"/>
          <w:color w:val="1A1A1A"/>
          <w:sz w:val="21"/>
          <w:szCs w:val="21"/>
        </w:rPr>
        <w:t xml:space="preserve">	6</w:t>
      </w:r>
    </w:p>
    <w:p>
      <w:pPr>
        <w:tabs>
          <w:tab w:val="right" w:pos="9026" w:leader="dot"/>
        </w:tabs>
        <w:spacing w:after="140"/>
      </w:pPr>
      <w:r>
        <w:rPr>
          <w:rFonts w:ascii="Calibri" w:cs="Calibri" w:eastAsia="Calibri" w:hAnsi="Calibri"/>
          <w:color w:val="1A1A1A"/>
          <w:sz w:val="21"/>
          <w:szCs w:val="21"/>
        </w:rPr>
        <w:t xml:space="preserve">4.0  Training &amp; Competency Matrix</w:t>
      </w:r>
      <w:r>
        <w:rPr>
          <w:rFonts w:ascii="Calibri" w:cs="Calibri" w:eastAsia="Calibri" w:hAnsi="Calibri"/>
          <w:color w:val="1A1A1A"/>
          <w:sz w:val="21"/>
          <w:szCs w:val="21"/>
        </w:rPr>
        <w:t xml:space="preserve">	7</w:t>
      </w:r>
    </w:p>
    <w:p>
      <w:pPr>
        <w:tabs>
          <w:tab w:val="right" w:pos="9026" w:leader="dot"/>
        </w:tabs>
        <w:spacing w:after="140"/>
      </w:pPr>
      <w:r>
        <w:rPr>
          <w:rFonts w:ascii="Calibri" w:cs="Calibri" w:eastAsia="Calibri" w:hAnsi="Calibri"/>
          <w:color w:val="1A1A1A"/>
          <w:sz w:val="21"/>
          <w:szCs w:val="21"/>
        </w:rPr>
        <w:t xml:space="preserve">5.0  HSE Performance Track Record (2023–2025)</w:t>
      </w:r>
      <w:r>
        <w:rPr>
          <w:rFonts w:ascii="Calibri" w:cs="Calibri" w:eastAsia="Calibri" w:hAnsi="Calibri"/>
          <w:color w:val="1A1A1A"/>
          <w:sz w:val="21"/>
          <w:szCs w:val="21"/>
        </w:rPr>
        <w:t xml:space="preserve">	9</w:t>
      </w:r>
    </w:p>
    <w:p>
      <w:pPr>
        <w:tabs>
          <w:tab w:val="right" w:pos="9026" w:leader="dot"/>
        </w:tabs>
        <w:spacing w:after="140"/>
      </w:pPr>
      <w:r>
        <w:rPr>
          <w:rFonts w:ascii="Calibri" w:cs="Calibri" w:eastAsia="Calibri" w:hAnsi="Calibri"/>
          <w:color w:val="1A1A1A"/>
          <w:sz w:val="21"/>
          <w:szCs w:val="21"/>
        </w:rPr>
        <w:t xml:space="preserve">6.0  Records &amp; Verification</w:t>
      </w:r>
      <w:r>
        <w:rPr>
          <w:rFonts w:ascii="Calibri" w:cs="Calibri" w:eastAsia="Calibri" w:hAnsi="Calibri"/>
          <w:color w:val="1A1A1A"/>
          <w:sz w:val="21"/>
          <w:szCs w:val="21"/>
        </w:rPr>
        <w:t xml:space="preserve">	10</w:t>
      </w:r>
    </w:p>
    <w:p>
      <w:pPr>
        <w:tabs>
          <w:tab w:val="right" w:pos="9026" w:leader="dot"/>
        </w:tabs>
        <w:spacing w:after="140"/>
      </w:pPr>
      <w:r>
        <w:rPr>
          <w:rFonts w:ascii="Calibri" w:cs="Calibri" w:eastAsia="Calibri" w:hAnsi="Calibri"/>
          <w:color w:val="1A1A1A"/>
          <w:sz w:val="21"/>
          <w:szCs w:val="21"/>
        </w:rPr>
        <w:t xml:space="preserve">7.0  Approval</w:t>
      </w:r>
      <w:r>
        <w:rPr>
          <w:rFonts w:ascii="Calibri" w:cs="Calibri" w:eastAsia="Calibri" w:hAnsi="Calibri"/>
          <w:color w:val="1A1A1A"/>
          <w:sz w:val="21"/>
          <w:szCs w:val="21"/>
        </w:rPr>
        <w:t xml:space="preserve">	10</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1.0  Introduction &amp; Purpose</w:t>
      </w:r>
    </w:p>
    <w:p>
      <w:pPr>
        <w:spacing w:after="120"/>
      </w:pPr>
      <w:r>
        <w:rPr>
          <w:rFonts w:ascii="Calibri" w:cs="Calibri" w:eastAsia="Calibri" w:hAnsi="Calibri"/>
          <w:color w:val="1A1A1A"/>
          <w:sz w:val="20"/>
          <w:szCs w:val="20"/>
        </w:rPr>
        <w:t xml:space="preserve">This Training Plan &amp; Competency Matrix documents South West Design Africa Limited's (SWDA) corporate training and competency assurance framework, and consolidates the specific training and certification requirements applied across SWDA's past project portfolio: the Front Puffin FPSO Tank Cleaning, Sludge Treatment &amp; Waste Management campaign (2023), the Utorogu 26T Well Acid Stimulation Treatment (2023) and Acid Stimulation/Coiled Tubing campaign (2024) for NEPL, and the Chevron Agbami FPSO 4th Campaign Tank Cleaning operations (2024–2025).</w:t>
      </w:r>
    </w:p>
    <w:p>
      <w:pPr>
        <w:spacing w:after="120"/>
      </w:pPr>
      <w:r>
        <w:rPr>
          <w:rFonts w:ascii="Calibri" w:cs="Calibri" w:eastAsia="Calibri" w:hAnsi="Calibri"/>
          <w:color w:val="1A1A1A"/>
          <w:sz w:val="20"/>
          <w:szCs w:val="20"/>
        </w:rPr>
        <w:t xml:space="preserve">This document serves two purposes: (i) it demonstrates SWDA's organization-wide competency assurance system as maintained under the SWDA Quality Management System (QMS); and (ii) it provides the training and certification evidentiary basis – track record – that underpins SWDA's technical and HSE capability, referenced in support of the current Renaissance 18-Tank ATC/NME Project mobilisation.</w:t>
      </w:r>
    </w:p>
    <w:p>
      <w:pPr>
        <w:pStyle w:val="Heading1"/>
        <w:pBdr>
          <w:bottom w:val="single" w:color="0F6C6C" w:sz="8" w:space="4"/>
        </w:pBdr>
        <w:spacing w:after="160" w:before="360"/>
      </w:pPr>
      <w:r>
        <w:rPr>
          <w:rFonts w:ascii="Calibri" w:cs="Calibri" w:eastAsia="Calibri" w:hAnsi="Calibri"/>
          <w:b/>
          <w:bCs/>
          <w:color w:val="1B2A4A"/>
          <w:sz w:val="28"/>
          <w:szCs w:val="28"/>
        </w:rPr>
        <w:t xml:space="preserve">2.0  Organizational Training &amp; Competency Framework</w:t>
      </w:r>
    </w:p>
    <w:p>
      <w:pPr>
        <w:pStyle w:val="Heading2"/>
        <w:spacing w:after="120" w:before="280"/>
      </w:pPr>
      <w:r>
        <w:rPr>
          <w:rFonts w:ascii="Calibri" w:cs="Calibri" w:eastAsia="Calibri" w:hAnsi="Calibri"/>
          <w:b/>
          <w:bCs/>
          <w:color w:val="0F6C6C"/>
          <w:sz w:val="24"/>
          <w:szCs w:val="24"/>
        </w:rPr>
        <w:t xml:space="preserve">2.1  Competence, Awareness &amp; Training (QMS Section 6.2.2)</w:t>
      </w:r>
    </w:p>
    <w:p>
      <w:pPr>
        <w:spacing w:after="120"/>
      </w:pPr>
      <w:r>
        <w:rPr>
          <w:rFonts w:ascii="Calibri" w:cs="Calibri" w:eastAsia="Calibri" w:hAnsi="Calibri"/>
          <w:color w:val="1A1A1A"/>
          <w:sz w:val="20"/>
          <w:szCs w:val="20"/>
        </w:rPr>
        <w:t xml:space="preserve">SWDA's competency framework is administered by the Human Resources Officer (HRO) in coordination with the Training Manager (TM), under SWDA's Quality Management System, and comprises four core processes:</w:t>
      </w:r>
    </w:p>
    <w:p>
      <w:pPr>
        <w:pStyle w:val="ListParagraph"/>
        <w:numPr>
          <w:ilvl w:val="0"/>
          <w:numId w:val="2"/>
        </w:numPr>
        <w:spacing w:after="80"/>
      </w:pPr>
      <w:r>
        <w:rPr>
          <w:rFonts w:ascii="Calibri" w:cs="Calibri" w:eastAsia="Calibri" w:hAnsi="Calibri"/>
          <w:color w:val="1A1A1A"/>
          <w:sz w:val="20"/>
          <w:szCs w:val="20"/>
        </w:rPr>
        <w:t xml:space="preserve">Needs Determination – Management (MGT) identifies emerging competency needs during business planning and Management Reviews; needs are converted into job descriptions and qualification criteria; the HRO evaluates and qualifies applicants and existing employees against documented or demonstrated competencies, including On-the-Job Training (OJT).</w:t>
      </w:r>
    </w:p>
    <w:p>
      <w:pPr>
        <w:pStyle w:val="ListParagraph"/>
        <w:numPr>
          <w:ilvl w:val="0"/>
          <w:numId w:val="2"/>
        </w:numPr>
        <w:spacing w:after="80"/>
      </w:pPr>
      <w:r>
        <w:rPr>
          <w:rFonts w:ascii="Calibri" w:cs="Calibri" w:eastAsia="Calibri" w:hAnsi="Calibri"/>
          <w:color w:val="1A1A1A"/>
          <w:sz w:val="20"/>
          <w:szCs w:val="20"/>
        </w:rPr>
        <w:t xml:space="preserve">Training Provision – training needs identified through Needs Determination are passed to the Training Manager (TM) for planning and timely provision, spanning both domestic and international training.</w:t>
      </w:r>
    </w:p>
    <w:p>
      <w:pPr>
        <w:pStyle w:val="ListParagraph"/>
        <w:numPr>
          <w:ilvl w:val="0"/>
          <w:numId w:val="2"/>
        </w:numPr>
        <w:spacing w:after="80"/>
      </w:pPr>
      <w:r>
        <w:rPr>
          <w:rFonts w:ascii="Calibri" w:cs="Calibri" w:eastAsia="Calibri" w:hAnsi="Calibri"/>
          <w:color w:val="1A1A1A"/>
          <w:sz w:val="20"/>
          <w:szCs w:val="20"/>
        </w:rPr>
        <w:t xml:space="preserve">Training Effectiveness – every training event is evaluated through immediate feedback from the employee and the supervisor/manager who identified the need; the HRO monitors overall effectiveness and reports recommendations to Management Review.</w:t>
      </w:r>
    </w:p>
    <w:p>
      <w:pPr>
        <w:pStyle w:val="ListParagraph"/>
        <w:numPr>
          <w:ilvl w:val="0"/>
          <w:numId w:val="2"/>
        </w:numPr>
        <w:spacing w:after="80"/>
      </w:pPr>
      <w:r>
        <w:rPr>
          <w:rFonts w:ascii="Calibri" w:cs="Calibri" w:eastAsia="Calibri" w:hAnsi="Calibri"/>
          <w:color w:val="1A1A1A"/>
          <w:sz w:val="20"/>
          <w:szCs w:val="20"/>
        </w:rPr>
        <w:t xml:space="preserve">Employee Awareness – employees are made aware of customer requirements, the relevance of their activities, and how these contribute to SWDA's Quality Policy and objectives, reinforced through performance reviews and participation in internal audit and improvement processes.</w:t>
      </w:r>
    </w:p>
    <w:p>
      <w:pPr>
        <w:pStyle w:val="Heading2"/>
        <w:spacing w:after="120" w:before="280"/>
      </w:pPr>
      <w:r>
        <w:rPr>
          <w:rFonts w:ascii="Calibri" w:cs="Calibri" w:eastAsia="Calibri" w:hAnsi="Calibri"/>
          <w:b/>
          <w:bCs/>
          <w:color w:val="0F6C6C"/>
          <w:sz w:val="24"/>
          <w:szCs w:val="24"/>
        </w:rPr>
        <w:t xml:space="preserve">2.2  HSE Competency (HSE-MS Standard 3)</w:t>
      </w:r>
    </w:p>
    <w:p>
      <w:pPr>
        <w:pStyle w:val="ListParagraph"/>
        <w:numPr>
          <w:ilvl w:val="0"/>
          <w:numId w:val="2"/>
        </w:numPr>
        <w:spacing w:after="80"/>
      </w:pPr>
      <w:r>
        <w:rPr>
          <w:rFonts w:ascii="Calibri" w:cs="Calibri" w:eastAsia="Calibri" w:hAnsi="Calibri"/>
          <w:color w:val="1A1A1A"/>
          <w:sz w:val="20"/>
          <w:szCs w:val="20"/>
        </w:rPr>
        <w:t xml:space="preserve">All HSE critical activities have defined competency levels recorded in the HSE Management System (HSE-MS); personnel performing these activities are designated HSE Critical Staff and require appropriate experience, qualifications and training.</w:t>
      </w:r>
    </w:p>
    <w:p>
      <w:pPr>
        <w:pStyle w:val="ListParagraph"/>
        <w:numPr>
          <w:ilvl w:val="0"/>
          <w:numId w:val="2"/>
        </w:numPr>
        <w:spacing w:after="80"/>
      </w:pPr>
      <w:r>
        <w:rPr>
          <w:rFonts w:ascii="Calibri" w:cs="Calibri" w:eastAsia="Calibri" w:hAnsi="Calibri"/>
          <w:color w:val="1A1A1A"/>
          <w:sz w:val="20"/>
          <w:szCs w:val="20"/>
        </w:rPr>
        <w:t xml:space="preserve">An HSE competency assurance process is maintained for all HSE critical employees (company and contractor), documenting required versus actual competence.</w:t>
      </w:r>
    </w:p>
    <w:p>
      <w:pPr>
        <w:pStyle w:val="ListParagraph"/>
        <w:numPr>
          <w:ilvl w:val="0"/>
          <w:numId w:val="2"/>
        </w:numPr>
        <w:spacing w:after="80"/>
      </w:pPr>
      <w:r>
        <w:rPr>
          <w:rFonts w:ascii="Calibri" w:cs="Calibri" w:eastAsia="Calibri" w:hAnsi="Calibri"/>
          <w:color w:val="1A1A1A"/>
          <w:sz w:val="20"/>
          <w:szCs w:val="20"/>
        </w:rPr>
        <w:t xml:space="preserve">Competency requirements are periodically reviewed and improved; employee competence is reassessed and any shortfalls addressed.</w:t>
      </w:r>
    </w:p>
    <w:p>
      <w:pPr>
        <w:pStyle w:val="Heading2"/>
        <w:spacing w:after="120" w:before="280"/>
      </w:pPr>
      <w:r>
        <w:rPr>
          <w:rFonts w:ascii="Calibri" w:cs="Calibri" w:eastAsia="Calibri" w:hAnsi="Calibri"/>
          <w:b/>
          <w:bCs/>
          <w:color w:val="0F6C6C"/>
          <w:sz w:val="24"/>
          <w:szCs w:val="24"/>
        </w:rPr>
        <w:t xml:space="preserve">2.3  HSE Auditor Competency (HSE-MS Section 4.7.3)</w:t>
      </w:r>
    </w:p>
    <w:p>
      <w:pPr>
        <w:pStyle w:val="ListParagraph"/>
        <w:numPr>
          <w:ilvl w:val="0"/>
          <w:numId w:val="2"/>
        </w:numPr>
        <w:spacing w:after="80"/>
      </w:pPr>
      <w:r>
        <w:rPr>
          <w:rFonts w:ascii="Calibri" w:cs="Calibri" w:eastAsia="Calibri" w:hAnsi="Calibri"/>
          <w:color w:val="1A1A1A"/>
          <w:sz w:val="20"/>
          <w:szCs w:val="20"/>
        </w:rPr>
        <w:t xml:space="preserve">Only personnel who have received adequate training may lead HSE audits.</w:t>
      </w:r>
    </w:p>
    <w:p>
      <w:pPr>
        <w:pStyle w:val="ListParagraph"/>
        <w:numPr>
          <w:ilvl w:val="0"/>
          <w:numId w:val="2"/>
        </w:numPr>
        <w:spacing w:after="80"/>
      </w:pPr>
      <w:r>
        <w:rPr>
          <w:rFonts w:ascii="Calibri" w:cs="Calibri" w:eastAsia="Calibri" w:hAnsi="Calibri"/>
          <w:color w:val="1A1A1A"/>
          <w:sz w:val="20"/>
          <w:szCs w:val="20"/>
        </w:rPr>
        <w:t xml:space="preserve">A competence assurance system defines auditor competence and ensures relevant HSE Auditor training is provided across different areas of the company.</w:t>
      </w:r>
    </w:p>
    <w:p>
      <w:pPr>
        <w:pStyle w:val="ListParagraph"/>
        <w:numPr>
          <w:ilvl w:val="0"/>
          <w:numId w:val="2"/>
        </w:numPr>
        <w:spacing w:after="80"/>
      </w:pPr>
      <w:r>
        <w:rPr>
          <w:rFonts w:ascii="Calibri" w:cs="Calibri" w:eastAsia="Calibri" w:hAnsi="Calibri"/>
          <w:color w:val="1A1A1A"/>
          <w:sz w:val="20"/>
          <w:szCs w:val="20"/>
        </w:rPr>
        <w:t xml:space="preserve">Audit procedures specify competency, subject-area experience and impartiality requirements for audit teams.</w:t>
      </w:r>
    </w:p>
    <w:p>
      <w:pPr>
        <w:pStyle w:val="Heading2"/>
        <w:spacing w:after="120" w:before="280"/>
      </w:pPr>
      <w:r>
        <w:rPr>
          <w:rFonts w:ascii="Calibri" w:cs="Calibri" w:eastAsia="Calibri" w:hAnsi="Calibri"/>
          <w:b/>
          <w:bCs/>
          <w:color w:val="0F6C6C"/>
          <w:sz w:val="24"/>
          <w:szCs w:val="24"/>
        </w:rPr>
        <w:t xml:space="preserve">2.4  QMS Records</w:t>
      </w:r>
    </w:p>
    <w:p>
      <w:pPr>
        <w:spacing w:after="120"/>
      </w:pPr>
      <w:r>
        <w:rPr>
          <w:rFonts w:ascii="Calibri" w:cs="Calibri" w:eastAsia="Calibri" w:hAnsi="Calibri"/>
          <w:color w:val="1A1A1A"/>
          <w:sz w:val="20"/>
          <w:szCs w:val="20"/>
        </w:rPr>
        <w:t xml:space="preserve">Records of education, training, skills and experience are maintained in accordance with SWDA's QMS Section 4.2.4. Employee qualification/competency review records and annual performance review results are maintained by the HRO; the Training Manager (TM) maintains records of all training completed.</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3.0  Past Project Portfolio Overview</w:t>
      </w:r>
    </w:p>
    <w:p>
      <w:pPr>
        <w:spacing w:after="120"/>
      </w:pPr>
      <w:r>
        <w:rPr>
          <w:rFonts w:ascii="Calibri" w:cs="Calibri" w:eastAsia="Calibri" w:hAnsi="Calibri"/>
          <w:color w:val="1A1A1A"/>
          <w:sz w:val="20"/>
          <w:szCs w:val="20"/>
        </w:rPr>
        <w:t xml:space="preserve">The following past engagements form the basis of the project-specific training and certification requirements consolidated in the Matrix at Section 4.0:</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000"/>
        <w:gridCol w:w="1400"/>
        <w:gridCol w:w="3400"/>
        <w:gridCol w:w="4200"/>
      </w:tblGrid>
      <w:tr>
        <w:trPr>
          <w:tblHeader/>
        </w:trPr>
        <w:tc>
          <w:tcPr>
            <w:tcW w:type="dxa" w:w="20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Project / Campaign</w:t>
            </w:r>
          </w:p>
        </w:tc>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Year(s)</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Client / Field</w:t>
            </w:r>
          </w:p>
        </w:tc>
        <w:tc>
          <w:tcPr>
            <w:tcW w:type="dxa" w:w="4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Scope &amp; Outcome Summary</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Front Puffin FPSO – Tank Cleaning, Sludge Treatment &amp; Waste Management</w:t>
            </w:r>
          </w:p>
        </w:tc>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2023</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FPSO Operator (Front Puffin)</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Confined Space Entry and waste handling activities on a sensitive production facility; completed with zero Safety Violations and full environmental compliance under stringent, inflexible regulatory and safety controls.</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Utorogu 26T Well – Acid Stimulation Treatment</w:t>
            </w:r>
          </w:p>
        </w:tc>
        <w:tc>
          <w:tcPr>
            <w:tcW w:type="dxa" w:w="1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2023</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NEPL (OML 34)</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Well Intervention, Lifting and Optimization Programme; full technical scope delivered with zero Lost Time Incidents (LTI) and full compliance with safety and operational procedures.</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Utorogu – Acid Stimulation Treatment &amp; Coiled Tubing Operations</w:t>
            </w:r>
          </w:p>
        </w:tc>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2024</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NEPL (Delta State)</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Integrated Intervention Campaign; complete technical objectives achieved with strong equipment reliability, uninterrupted operations and zero LTIs.</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Chevron Agbami FPSO – 4th Campaign FPSO Tank Cleaning Operations</w:t>
            </w:r>
          </w:p>
        </w:tc>
        <w:tc>
          <w:tcPr>
            <w:tcW w:type="dxa" w:w="1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2024–2025</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Chevron (Agbami Field)</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15,216–16,475 man-hours worked with strict adherence to safety systems, procedural controls and permit-to-work requirements; zero work-related LTI; one non-work-related health incident (personal medical grounds, no operational relativity).</w:t>
            </w:r>
          </w:p>
        </w:tc>
      </w:tr>
    </w:tbl>
    <w:p>
      <w:r>
        <w:br w:type="page"/>
      </w:r>
    </w:p>
    <w:p>
      <w:pPr>
        <w:sectPr>
          <w:headerReference w:type="default" r:id="rId9"/>
          <w:footerReference w:type="default" r:id="rId10"/>
          <w:pgSz w:w="12240" w:h="15840" w:orient="portrait"/>
          <w:pgMar w:top="1260" w:right="1080" w:bottom="126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4.0  Training &amp; Competency Matrix</w:t>
      </w:r>
    </w:p>
    <w:p>
      <w:pPr>
        <w:spacing w:after="120"/>
      </w:pPr>
      <w:r>
        <w:rPr>
          <w:rFonts w:ascii="Calibri" w:cs="Calibri" w:eastAsia="Calibri" w:hAnsi="Calibri"/>
          <w:color w:val="1A1A1A"/>
          <w:sz w:val="20"/>
          <w:szCs w:val="20"/>
        </w:rPr>
        <w:t xml:space="preserve">The matrix below consolidates the training and certification requirements applicable to key roles across SWDA's organization and its past project portfolio, cross-referenced to the projects in which each role was deployed.</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1900"/>
        <w:gridCol w:w="2600"/>
        <w:gridCol w:w="1700"/>
        <w:gridCol w:w="1500"/>
        <w:gridCol w:w="2700"/>
      </w:tblGrid>
      <w:tr>
        <w:trPr>
          <w:tblHeader/>
        </w:trPr>
        <w:tc>
          <w:tcPr>
            <w:tcW w:type="dxa" w:w="19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Role</w:t>
            </w:r>
          </w:p>
        </w:tc>
        <w:tc>
          <w:tcPr>
            <w:tcW w:type="dxa" w:w="2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Required Training / Certification</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Provider / Standard</w:t>
            </w:r>
          </w:p>
        </w:tc>
        <w:tc>
          <w:tcPr>
            <w:tcW w:type="dxa" w:w="1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Validity Period</w:t>
            </w:r>
          </w:p>
        </w:tc>
        <w:tc>
          <w:tcPr>
            <w:tcW w:type="dxa" w:w="2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Applicable Project(s)</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Project Director / COO-ED</w:t>
            </w:r>
          </w:p>
          <w:p>
            <w:pPr>
              <w:spacing w:after="0"/>
            </w:pPr>
            <w:r>
              <w:rPr>
                <w:rFonts w:ascii="Calibri" w:cs="Calibri" w:eastAsia="Calibri" w:hAnsi="Calibri"/>
                <w:b w:val="false"/>
                <w:bCs w:val="false"/>
                <w:i/>
                <w:iCs/>
                <w:color w:val="1B2A4A"/>
                <w:sz w:val="15"/>
                <w:szCs w:val="15"/>
              </w:rPr>
              <w:t xml:space="preserve">(Corporate)</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HSE-MS Leadership Awareness; Management Review &amp; Corrective Action System training</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SWDA Internal QMS/HSE-MS Programme</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Ongoing / Annual Review</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all projects</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FPSO Tank Cleaning Entrant</w:t>
            </w:r>
          </w:p>
          <w:p>
            <w:pPr>
              <w:spacing w:after="0"/>
            </w:pPr>
            <w:r>
              <w:rPr>
                <w:rFonts w:ascii="Calibri" w:cs="Calibri" w:eastAsia="Calibri" w:hAnsi="Calibri"/>
                <w:b w:val="false"/>
                <w:bCs w:val="false"/>
                <w:i/>
                <w:iCs/>
                <w:color w:val="1B2A4A"/>
                <w:sz w:val="15"/>
                <w:szCs w:val="15"/>
              </w:rPr>
              <w:t xml:space="preserve">(Front Puffin, Agbami)</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Medical Fitness (FFD); BOSIET; Off-Shore Safety Permit (OSP); H₂S Awareness; Confined Space Entrant Training</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SPDC-approved hospital (FFD); OPITO-approved Centre (BOSIET); NUPRC (OSP)</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FFD: Annual (typical) – to be confirmed; BOSIET: 4 years (industry-typical) – to be confirmed</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Front Puffin FPSO (2023); Chevron Agbami FPSO (2024–2025)</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Rescue Access Team (RAT) Operative / Confined Space Attendant</w:t>
            </w:r>
          </w:p>
          <w:p>
            <w:pPr>
              <w:spacing w:after="0"/>
            </w:pPr>
            <w:r>
              <w:rPr>
                <w:rFonts w:ascii="Calibri" w:cs="Calibri" w:eastAsia="Calibri" w:hAnsi="Calibri"/>
                <w:b w:val="false"/>
                <w:bCs w:val="false"/>
                <w:i/>
                <w:iCs/>
                <w:color w:val="1B2A4A"/>
                <w:sz w:val="15"/>
                <w:szCs w:val="15"/>
              </w:rPr>
              <w:t xml:space="preserve">(Front Puffin, Agbami)</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Confined Space Rescue Training; Confined Space Attendant Training; BOSIET; First Aid/CPR; FFD</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SWDA / Client Joint Training Programme; OPITO Centre</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Front Puffin FPSO (2023); Chevron Agbami FPSO (2024–2025)</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Lead Entrant Supervisor / Emergency Responder</w:t>
            </w:r>
          </w:p>
          <w:p>
            <w:pPr>
              <w:spacing w:after="0"/>
            </w:pPr>
            <w:r>
              <w:rPr>
                <w:rFonts w:ascii="Calibri" w:cs="Calibri" w:eastAsia="Calibri" w:hAnsi="Calibri"/>
                <w:b w:val="false"/>
                <w:bCs w:val="false"/>
                <w:i/>
                <w:iCs/>
                <w:color w:val="1B2A4A"/>
                <w:sz w:val="15"/>
                <w:szCs w:val="15"/>
              </w:rPr>
              <w:t xml:space="preserve">(Front Puffin, Agbami)</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Confined Space Entry Supervisor Training; Emergency Response Training; BOSIET; Incident Investigation</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OPITO Centre; SWDA Internal Emergency Response Programme</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Front Puffin FPSO (2023); Chevron Agbami FPSO (2024–2025)</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On-Site HSE Officer</w:t>
            </w:r>
          </w:p>
          <w:p>
            <w:pPr>
              <w:spacing w:after="0"/>
            </w:pPr>
            <w:r>
              <w:rPr>
                <w:rFonts w:ascii="Calibri" w:cs="Calibri" w:eastAsia="Calibri" w:hAnsi="Calibri"/>
                <w:b w:val="false"/>
                <w:bCs w:val="false"/>
                <w:i/>
                <w:iCs/>
                <w:color w:val="1B2A4A"/>
                <w:sz w:val="15"/>
                <w:szCs w:val="15"/>
              </w:rPr>
              <w:t xml:space="preserve">(All Projects)</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HSE Officer Certification; Incident Investigation Training; HSE Auditor Training (where leading audits)</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Accredited HSE Training Provider; SWDA Auditor Competence Assurance Programme</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Front Puffin, Utorogu, Agbami, current RAEC Project</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Well Intervention / Coiled Tubing Technician</w:t>
            </w:r>
          </w:p>
          <w:p>
            <w:pPr>
              <w:spacing w:after="0"/>
            </w:pPr>
            <w:r>
              <w:rPr>
                <w:rFonts w:ascii="Calibri" w:cs="Calibri" w:eastAsia="Calibri" w:hAnsi="Calibri"/>
                <w:b w:val="false"/>
                <w:bCs w:val="false"/>
                <w:i/>
                <w:iCs/>
                <w:color w:val="1B2A4A"/>
                <w:sz w:val="15"/>
                <w:szCs w:val="15"/>
              </w:rPr>
              <w:t xml:space="preserve">(Utorogu)</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Well Control Certification (IWCF/IADC-equivalent); Coiled Tubing Operations Certification; Acid Stimulation Safety Training</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IWCF / IADC-accredited Training Provider</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Well Control: typically 2–4 years – to be confirmed against SWDA training records</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Utorogu 26T Well (2023); Utorogu Acid Stimulation &amp; Coiled Tubing (2024)</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QA/QC Manager / Inspector</w:t>
            </w:r>
          </w:p>
          <w:p>
            <w:pPr>
              <w:spacing w:after="0"/>
            </w:pPr>
            <w:r>
              <w:rPr>
                <w:rFonts w:ascii="Calibri" w:cs="Calibri" w:eastAsia="Calibri" w:hAnsi="Calibri"/>
                <w:b w:val="false"/>
                <w:bCs w:val="false"/>
                <w:i/>
                <w:iCs/>
                <w:color w:val="1B2A4A"/>
                <w:sz w:val="15"/>
                <w:szCs w:val="15"/>
              </w:rPr>
              <w:t xml:space="preserve">(Corporate)</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ISO 9001 Lead Auditor / Internal Auditor Training; Non-Conformance Control &amp; Inspection Test Plan Competency</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Accredited ISO 9001 Training Body; SWDA Internal QMS Programme</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ISO 9001 Auditor: typically 3 years – to be confirmed</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all projects</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HSE Auditor</w:t>
            </w:r>
          </w:p>
          <w:p>
            <w:pPr>
              <w:spacing w:after="0"/>
            </w:pPr>
            <w:r>
              <w:rPr>
                <w:rFonts w:ascii="Calibri" w:cs="Calibri" w:eastAsia="Calibri" w:hAnsi="Calibri"/>
                <w:b w:val="false"/>
                <w:bCs w:val="false"/>
                <w:i/>
                <w:iCs/>
                <w:color w:val="1B2A4A"/>
                <w:sz w:val="15"/>
                <w:szCs w:val="15"/>
              </w:rPr>
              <w:t xml:space="preserve">(Corporate)</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HSE Auditor Training &amp; Competence Assurance (per HSE-MS Section 4.7.3)</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SWDA Internal HSE Auditor Competence Assurance Programme</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all projects</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On-Site Field Nurse / First Aid Responder</w:t>
            </w:r>
          </w:p>
          <w:p>
            <w:pPr>
              <w:spacing w:after="0"/>
            </w:pPr>
            <w:r>
              <w:rPr>
                <w:rFonts w:ascii="Calibri" w:cs="Calibri" w:eastAsia="Calibri" w:hAnsi="Calibri"/>
                <w:b w:val="false"/>
                <w:bCs w:val="false"/>
                <w:i/>
                <w:iCs/>
                <w:color w:val="1B2A4A"/>
                <w:sz w:val="15"/>
                <w:szCs w:val="15"/>
              </w:rPr>
              <w:t xml:space="preserve">(All Projects)</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Occupational Health Nursing Certification; First Aid / CPR / AED</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Accredited Nursing Body; Red Cross / St. John Ambulance-equivalent Provider</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First Aid/CPR: typically 2–3 years – to be confirmed</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Front Puffin, Utorogu, Agbami</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Equipment &amp; Maintenance Manager</w:t>
            </w:r>
          </w:p>
          <w:p>
            <w:pPr>
              <w:spacing w:after="0"/>
            </w:pPr>
            <w:r>
              <w:rPr>
                <w:rFonts w:ascii="Calibri" w:cs="Calibri" w:eastAsia="Calibri" w:hAnsi="Calibri"/>
                <w:b w:val="false"/>
                <w:bCs w:val="false"/>
                <w:i/>
                <w:iCs/>
                <w:color w:val="1B2A4A"/>
                <w:sz w:val="15"/>
                <w:szCs w:val="15"/>
              </w:rPr>
              <w:t xml:space="preserve">(Corporate)</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Plant &amp; Equipment Maintenance Competency; Lifting Equipment Certification Awareness</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SWDA Internal Programme; Manufacturer-Accredited Training</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all projects</w:t>
            </w:r>
          </w:p>
        </w:tc>
      </w:tr>
      <w:tr>
        <w:tc>
          <w:tcPr>
            <w:tcW w:type="dxa" w:w="1900"/>
            <w:shd w:fill="FFFFFF"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Crane Operator / Banksman</w:t>
            </w:r>
          </w:p>
          <w:p>
            <w:pPr>
              <w:spacing w:after="0"/>
            </w:pPr>
            <w:r>
              <w:rPr>
                <w:rFonts w:ascii="Calibri" w:cs="Calibri" w:eastAsia="Calibri" w:hAnsi="Calibri"/>
                <w:b w:val="false"/>
                <w:bCs w:val="false"/>
                <w:i/>
                <w:iCs/>
                <w:color w:val="1B2A4A"/>
                <w:sz w:val="15"/>
                <w:szCs w:val="15"/>
              </w:rPr>
              <w:t xml:space="preserve">(Front Puffin, Agbami, Utorogu)</w:t>
            </w:r>
          </w:p>
        </w:tc>
        <w:tc>
          <w:tcPr>
            <w:tcW w:type="dxa" w:w="26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Crane Operator Certification; Banksman / Rigger Training</w:t>
            </w:r>
          </w:p>
        </w:tc>
        <w:tc>
          <w:tcPr>
            <w:tcW w:type="dxa" w:w="1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Accredited Lifting Training Provider</w:t>
            </w:r>
          </w:p>
        </w:tc>
        <w:tc>
          <w:tcPr>
            <w:tcW w:type="dxa" w:w="15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Typically 2–3 years – to be confirmed</w:t>
            </w:r>
          </w:p>
        </w:tc>
        <w:tc>
          <w:tcPr>
            <w:tcW w:type="dxa" w:w="2700"/>
            <w:shd w:fill="FFFFFF"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Front Puffin FPSO; Chevron Agbami FPSO; Utorogu</w:t>
            </w:r>
          </w:p>
        </w:tc>
      </w:tr>
      <w:tr>
        <w:tc>
          <w:tcPr>
            <w:tcW w:type="dxa" w:w="1900"/>
            <w:shd w:fill="E8F2F1" w:val="clear"/>
            <w:tcMar>
              <w:top w:type="dxa" w:w="80"/>
              <w:left w:type="dxa" w:w="100"/>
              <w:bottom w:type="dxa" w:w="80"/>
              <w:right w:type="dxa" w:w="100"/>
            </w:tcMar>
            <w:vAlign w:val="center"/>
          </w:tcPr>
          <w:p>
            <w:pPr>
              <w:spacing w:after="20"/>
            </w:pPr>
            <w:r>
              <w:rPr>
                <w:rFonts w:ascii="Calibri" w:cs="Calibri" w:eastAsia="Calibri" w:hAnsi="Calibri"/>
                <w:b/>
                <w:bCs/>
                <w:i w:val="false"/>
                <w:iCs w:val="false"/>
                <w:color w:val="1B2A4A"/>
                <w:sz w:val="15"/>
                <w:szCs w:val="15"/>
              </w:rPr>
              <w:t xml:space="preserve">Waste Water / Soil / Groundwater Remediation Professional</w:t>
            </w:r>
          </w:p>
          <w:p>
            <w:pPr>
              <w:spacing w:after="0"/>
            </w:pPr>
            <w:r>
              <w:rPr>
                <w:rFonts w:ascii="Calibri" w:cs="Calibri" w:eastAsia="Calibri" w:hAnsi="Calibri"/>
                <w:b w:val="false"/>
                <w:bCs w:val="false"/>
                <w:i/>
                <w:iCs/>
                <w:color w:val="1B2A4A"/>
                <w:sz w:val="15"/>
                <w:szCs w:val="15"/>
              </w:rPr>
              <w:t xml:space="preserve">(Corporate – Environmental)</w:t>
            </w:r>
          </w:p>
        </w:tc>
        <w:tc>
          <w:tcPr>
            <w:tcW w:type="dxa" w:w="26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Environmental Remediation Certification; Waste Classification &amp; Handling Training</w:t>
            </w:r>
          </w:p>
        </w:tc>
        <w:tc>
          <w:tcPr>
            <w:tcW w:type="dxa" w:w="1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Accredited Environmental Training Body; EGASPIN-aligned Internal Programme</w:t>
            </w:r>
          </w:p>
        </w:tc>
        <w:tc>
          <w:tcPr>
            <w:tcW w:type="dxa" w:w="15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To be confirmed against SWDA training records</w:t>
            </w:r>
          </w:p>
        </w:tc>
        <w:tc>
          <w:tcPr>
            <w:tcW w:type="dxa" w:w="2700"/>
            <w:shd w:fill="E8F2F1" w:val="clear"/>
            <w:tcMar>
              <w:top w:type="dxa" w:w="80"/>
              <w:left w:type="dxa" w:w="100"/>
              <w:bottom w:type="dxa" w:w="80"/>
              <w:right w:type="dxa" w:w="100"/>
            </w:tcMar>
            <w:vAlign w:val="center"/>
          </w:tcPr>
          <w:p>
            <w:pPr>
              <w:spacing w:after="20"/>
            </w:pPr>
            <w:r>
              <w:rPr>
                <w:rFonts w:ascii="Calibri" w:cs="Calibri" w:eastAsia="Calibri" w:hAnsi="Calibri"/>
                <w:b w:val="false"/>
                <w:bCs w:val="false"/>
                <w:i w:val="false"/>
                <w:iCs w:val="false"/>
                <w:color w:val="1A1A1A"/>
                <w:sz w:val="15"/>
                <w:szCs w:val="15"/>
              </w:rPr>
              <w:t xml:space="preserve">Organization-wide – Environmental/Waste Management scope</w:t>
            </w:r>
          </w:p>
        </w:tc>
      </w:tr>
    </w:tbl>
    <w:p>
      <w:pPr>
        <w:spacing w:before="200"/>
      </w:pPr>
      <w:r>
        <w:rPr>
          <w:rFonts w:ascii="Calibri" w:cs="Calibri" w:eastAsia="Calibri" w:hAnsi="Calibri"/>
          <w:color w:val="1A1A1A"/>
          <w:sz w:val="20"/>
          <w:szCs w:val="20"/>
        </w:rPr>
        <w:t xml:space="preserve"/>
      </w:r>
    </w:p>
    <w:p>
      <w:pPr>
        <w:pBdr>
          <w:left w:val="single" w:color="B8944F" w:sz="16" w:space="8"/>
        </w:pBdr>
        <w:shd w:fill="FFF4E0" w:val="clear"/>
        <w:spacing w:after="160" w:before="80"/>
        <w:ind w:left="120"/>
      </w:pPr>
      <w:r>
        <w:rPr>
          <w:rFonts w:ascii="Calibri" w:cs="Calibri" w:eastAsia="Calibri" w:hAnsi="Calibri"/>
          <w:b/>
          <w:bCs/>
          <w:color w:val="B8944F"/>
          <w:sz w:val="19"/>
          <w:szCs w:val="19"/>
        </w:rPr>
        <w:t xml:space="preserve">NOTE FOR SWDA REVIEW: </w:t>
      </w:r>
      <w:r>
        <w:rPr>
          <w:rFonts w:ascii="Calibri" w:cs="Calibri" w:eastAsia="Calibri" w:hAnsi="Calibri"/>
          <w:i/>
          <w:iCs/>
          <w:color w:val="1A1A1A"/>
          <w:sz w:val="19"/>
          <w:szCs w:val="19"/>
        </w:rPr>
        <w:t xml:space="preserve">Validity periods marked “to be confirmed” are industry-typical estimates and were not explicitly stated in the uploaded source documents. As previously flagged in the RAEC-specific Training Plan &amp; Competency Matrix, these should be verified against SWDA's actual training records (BOSIET, H₂S Awareness, Well Control, ISO 9001 Auditor, First Aid/CPR and other certifications) before this document is treated as a final, audit-ready record.</w:t>
      </w:r>
    </w:p>
    <w:p>
      <w:pPr>
        <w:sectPr>
          <w:headerReference w:type="default" r:id="rId11"/>
          <w:footerReference w:type="default" r:id="rId12"/>
          <w:pgSz w:w="15840" w:h="12240" w:orient="landscape"/>
          <w:pgMar w:top="1080" w:right="900" w:bottom="1080" w:left="90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5.0  HSE Performance Track Record (2023–2025)</w:t>
      </w:r>
    </w:p>
    <w:p>
      <w:pPr>
        <w:spacing w:after="120"/>
      </w:pPr>
      <w:r>
        <w:rPr>
          <w:rFonts w:ascii="Calibri" w:cs="Calibri" w:eastAsia="Calibri" w:hAnsi="Calibri"/>
          <w:color w:val="1A1A1A"/>
          <w:sz w:val="20"/>
          <w:szCs w:val="20"/>
        </w:rPr>
        <w:t xml:space="preserve">The following consolidated HSE performance statistics, drawn from SWDA's QA/QC Plan and HSE Plan attachments, evidence the operational discipline underpinning the competency framework above across the Utorogu, Front Puffin and Chevron Agbami campaigns: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400"/>
        <w:gridCol w:w="1600"/>
        <w:gridCol w:w="1600"/>
        <w:gridCol w:w="1600"/>
        <w:gridCol w:w="1800"/>
      </w:tblGrid>
      <w:tr>
        <w:trPr>
          <w:tblHeader/>
        </w:trPr>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HSE Performance Parameter</w:t>
            </w:r>
          </w:p>
        </w:tc>
        <w:tc>
          <w:tcPr>
            <w:tcW w:type="dxa" w:w="16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5"/>
                <w:szCs w:val="15"/>
              </w:rPr>
              <w:t xml:space="preserve">2023</w:t>
            </w:r>
          </w:p>
        </w:tc>
        <w:tc>
          <w:tcPr>
            <w:tcW w:type="dxa" w:w="16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5"/>
                <w:szCs w:val="15"/>
              </w:rPr>
              <w:t xml:space="preserve">2024</w:t>
            </w:r>
          </w:p>
        </w:tc>
        <w:tc>
          <w:tcPr>
            <w:tcW w:type="dxa" w:w="16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5"/>
                <w:szCs w:val="15"/>
              </w:rPr>
              <w:t xml:space="preserve">2025</w:t>
            </w:r>
          </w:p>
        </w:tc>
        <w:tc>
          <w:tcPr>
            <w:tcW w:type="dxa" w:w="18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5"/>
                <w:szCs w:val="15"/>
              </w:rPr>
              <w:t xml:space="preserve">KPI Target / Yr</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Total Man-Hours Worked (MHW)</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13,104</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15,216</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16,475</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N/A</w:t>
            </w:r>
          </w:p>
        </w:tc>
      </w:tr>
      <w:tr>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Fatal Injuries (FI)</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8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Lost Time Injury Cases (LTI)</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r>
      <w:tr>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Medical Treatment Cases (MTC)</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2</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w:t>
            </w:r>
          </w:p>
        </w:tc>
        <w:tc>
          <w:tcPr>
            <w:tcW w:type="dxa" w:w="18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Restricted Work-Day Cases (RWDC)</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r>
      <w:tr>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Lost Time Injury Frequency (LTIF)</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8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Total Recordable Injury Frequency (TRIF)</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0.00</w:t>
            </w:r>
          </w:p>
        </w:tc>
      </w:tr>
      <w:tr>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Total First Aid Cases</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2</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w:t>
            </w:r>
          </w:p>
        </w:tc>
        <w:tc>
          <w:tcPr>
            <w:tcW w:type="dxa" w:w="18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&lt; 2</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Near Misses / SWA Reported</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 / 32</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2 / 31</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 / 28</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&lt; 2 / 40</w:t>
            </w:r>
          </w:p>
        </w:tc>
      </w:tr>
      <w:tr>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Fire Incidents, Other Emergencies &amp; Environmental Impacts</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6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c>
          <w:tcPr>
            <w:tcW w:type="dxa" w:w="18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0</w:t>
            </w:r>
          </w:p>
        </w:tc>
      </w:tr>
      <w:tr>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Hazard Observations</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10</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8</w:t>
            </w:r>
          </w:p>
        </w:tc>
        <w:tc>
          <w:tcPr>
            <w:tcW w:type="dxa" w:w="16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6</w:t>
            </w:r>
          </w:p>
        </w:tc>
        <w:tc>
          <w:tcPr>
            <w:tcW w:type="dxa" w:w="18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&lt; 10</w:t>
            </w:r>
          </w:p>
        </w:tc>
      </w:tr>
    </w:tbl>
    <w:p>
      <w:pPr>
        <w:spacing w:before="200"/>
      </w:pPr>
      <w:r>
        <w:rPr>
          <w:rFonts w:ascii="Calibri" w:cs="Calibri" w:eastAsia="Calibri" w:hAnsi="Calibri"/>
          <w:color w:val="1A1A1A"/>
          <w:sz w:val="20"/>
          <w:szCs w:val="20"/>
        </w:rPr>
        <w:t xml:space="preserve"/>
      </w:r>
    </w:p>
    <w:p>
      <w:pPr>
        <w:spacing w:after="120"/>
      </w:pPr>
      <w:r>
        <w:rPr>
          <w:rFonts w:ascii="Calibri" w:cs="Calibri" w:eastAsia="Calibri" w:hAnsi="Calibri"/>
          <w:color w:val="1A1A1A"/>
          <w:sz w:val="20"/>
          <w:szCs w:val="20"/>
        </w:rPr>
        <w:t xml:space="preserve">The single 2025 Lost Time Injury and associated Medical Treatment Case relate to a Chevron Agbami FPSO campaign incident subsequently determined to be a latent, personal health-related matter with no attributable operational, safety-system or procedural relativity; the campaign otherwise maintained a zero work-related LTI record.</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6.0  Records &amp; Verification</w:t>
      </w:r>
    </w:p>
    <w:p>
      <w:pPr>
        <w:spacing w:after="120"/>
      </w:pPr>
      <w:r>
        <w:rPr>
          <w:rFonts w:ascii="Calibri" w:cs="Calibri" w:eastAsia="Calibri" w:hAnsi="Calibri"/>
          <w:color w:val="1A1A1A"/>
          <w:sz w:val="20"/>
          <w:szCs w:val="20"/>
        </w:rPr>
        <w:t xml:space="preserve">Training and competency records for personnel deployed on the Front Puffin, Utorogu and Chevron Agbami engagements are maintained by SWDA's Human Resources Officer (HRO) and Training Manager (TM) in accordance with QMS Section 4.2.4 (Records) and Section 6.2.2 (Competence, Awareness &amp; Training).</w:t>
      </w:r>
    </w:p>
    <w:p>
      <w:pPr>
        <w:pStyle w:val="ListParagraph"/>
        <w:numPr>
          <w:ilvl w:val="0"/>
          <w:numId w:val="2"/>
        </w:numPr>
        <w:spacing w:after="80"/>
      </w:pPr>
      <w:r>
        <w:rPr>
          <w:rFonts w:ascii="Calibri" w:cs="Calibri" w:eastAsia="Calibri" w:hAnsi="Calibri"/>
          <w:color w:val="1A1A1A"/>
          <w:sz w:val="20"/>
          <w:szCs w:val="20"/>
        </w:rPr>
        <w:t xml:space="preserve">Individual qualification/competency review records and annual performance review results – maintained by the HRO.</w:t>
      </w:r>
    </w:p>
    <w:p>
      <w:pPr>
        <w:pStyle w:val="ListParagraph"/>
        <w:numPr>
          <w:ilvl w:val="0"/>
          <w:numId w:val="2"/>
        </w:numPr>
        <w:spacing w:after="80"/>
      </w:pPr>
      <w:r>
        <w:rPr>
          <w:rFonts w:ascii="Calibri" w:cs="Calibri" w:eastAsia="Calibri" w:hAnsi="Calibri"/>
          <w:color w:val="1A1A1A"/>
          <w:sz w:val="20"/>
          <w:szCs w:val="20"/>
        </w:rPr>
        <w:t xml:space="preserve">Training completion records for all training events – maintained by the Training Manager (TM).</w:t>
      </w:r>
    </w:p>
    <w:p>
      <w:pPr>
        <w:pStyle w:val="ListParagraph"/>
        <w:numPr>
          <w:ilvl w:val="0"/>
          <w:numId w:val="2"/>
        </w:numPr>
        <w:spacing w:after="80"/>
      </w:pPr>
      <w:r>
        <w:rPr>
          <w:rFonts w:ascii="Calibri" w:cs="Calibri" w:eastAsia="Calibri" w:hAnsi="Calibri"/>
          <w:color w:val="1A1A1A"/>
          <w:sz w:val="20"/>
          <w:szCs w:val="20"/>
        </w:rPr>
        <w:t xml:space="preserve">HSE critical staff competence documentation (required vs. actual) – maintained under the HSE-MS competency assurance process.</w:t>
      </w:r>
    </w:p>
    <w:p>
      <w:pPr>
        <w:pStyle w:val="ListParagraph"/>
        <w:numPr>
          <w:ilvl w:val="0"/>
          <w:numId w:val="2"/>
        </w:numPr>
        <w:spacing w:after="80"/>
      </w:pPr>
      <w:r>
        <w:rPr>
          <w:rFonts w:ascii="Calibri" w:cs="Calibri" w:eastAsia="Calibri" w:hAnsi="Calibri"/>
          <w:color w:val="1A1A1A"/>
          <w:sz w:val="20"/>
          <w:szCs w:val="20"/>
        </w:rPr>
        <w:t xml:space="preserve">Subcontractor/vendor personnel qualifications – verified by the supplying subcontractor and confirmed by SWDA's QA/QC Department as part of vendor assessment.</w:t>
      </w:r>
    </w:p>
    <w:p>
      <w:pPr>
        <w:spacing w:after="120"/>
      </w:pPr>
      <w:r>
        <w:rPr>
          <w:rFonts w:ascii="Calibri" w:cs="Calibri" w:eastAsia="Calibri" w:hAnsi="Calibri"/>
          <w:color w:val="1A1A1A"/>
          <w:sz w:val="20"/>
          <w:szCs w:val="20"/>
        </w:rPr>
        <w:t xml:space="preserve">Any gap identified between this Matrix and SWDA's underlying training records should be logged as a finding in the Project Action Tracking Register (Inspections or Audits category) with an assigned owner and target closure date.</w:t>
      </w:r>
    </w:p>
    <w:p>
      <w:pPr>
        <w:pStyle w:val="Heading1"/>
        <w:pBdr>
          <w:bottom w:val="single" w:color="0F6C6C" w:sz="8" w:space="4"/>
        </w:pBdr>
        <w:spacing w:after="160" w:before="360"/>
      </w:pPr>
      <w:r>
        <w:rPr>
          <w:rFonts w:ascii="Calibri" w:cs="Calibri" w:eastAsia="Calibri" w:hAnsi="Calibri"/>
          <w:b/>
          <w:bCs/>
          <w:color w:val="1B2A4A"/>
          <w:sz w:val="28"/>
          <w:szCs w:val="28"/>
        </w:rPr>
        <w:t xml:space="preserve">7.0  Approval</w:t>
      </w:r>
    </w:p>
    <w:p>
      <w:pPr>
        <w:spacing w:after="120"/>
      </w:pPr>
      <w:r>
        <w:rPr>
          <w:rFonts w:ascii="Calibri" w:cs="Calibri" w:eastAsia="Calibri" w:hAnsi="Calibri"/>
          <w:color w:val="1A1A1A"/>
          <w:sz w:val="20"/>
          <w:szCs w:val="20"/>
        </w:rPr>
        <w:t xml:space="preserve">This SWDA Organization &amp; Past Project Training Plan &amp; Competency Matrix has been reviewed for completeness and consistency with the SWDA Quality Management System and HSE Management System, and is submitted for approval as a record of corporate training framework and past-project competency evidence.</w:t>
      </w:r>
    </w:p>
    <w:p>
      <w:pPr>
        <w:spacing w:after="100" w:before="600"/>
      </w:pPr>
      <w:r>
        <w:rPr>
          <w:rFonts w:ascii="Calibri" w:cs="Calibri" w:eastAsia="Calibri" w:hAnsi="Calibri"/>
          <w:b/>
          <w:bCs/>
          <w:color w:val="1B2A4A"/>
          <w:sz w:val="20"/>
          <w:szCs w:val="20"/>
        </w:rPr>
        <w:t xml:space="preserve">Approved by:</w:t>
      </w:r>
    </w:p>
    <w:p>
      <w:pPr>
        <w:spacing w:after="60" w:before="500"/>
      </w:pPr>
      <w:r>
        <w:rPr>
          <w:rFonts w:ascii="Calibri" w:cs="Calibri" w:eastAsia="Calibri" w:hAnsi="Calibri"/>
          <w:sz w:val="20"/>
          <w:szCs w:val="20"/>
        </w:rPr>
        <w:t xml:space="preserve">____________________________________________</w:t>
      </w:r>
    </w:p>
    <w:p>
      <w:pPr>
        <w:spacing w:after="40"/>
      </w:pPr>
      <w:r>
        <w:rPr>
          <w:rFonts w:ascii="Calibri" w:cs="Calibri" w:eastAsia="Calibri" w:hAnsi="Calibri"/>
          <w:b/>
          <w:bCs/>
          <w:sz w:val="20"/>
          <w:szCs w:val="20"/>
        </w:rPr>
        <w:t xml:space="preserve">Gliffeth Wonuigwe</w:t>
      </w:r>
    </w:p>
    <w:p>
      <w:pPr>
        <w:spacing w:after="40"/>
      </w:pPr>
      <w:r>
        <w:rPr>
          <w:rFonts w:ascii="Calibri" w:cs="Calibri" w:eastAsia="Calibri" w:hAnsi="Calibri"/>
          <w:i/>
          <w:iCs/>
          <w:sz w:val="19"/>
          <w:szCs w:val="19"/>
        </w:rPr>
        <w:t xml:space="preserve">Group Chief Executive Officer / Managing Director</w:t>
      </w:r>
    </w:p>
    <w:p>
      <w:pPr>
        <w:spacing w:after="40"/>
      </w:pPr>
      <w:r>
        <w:rPr>
          <w:rFonts w:ascii="Calibri" w:cs="Calibri" w:eastAsia="Calibri" w:hAnsi="Calibri"/>
          <w:i/>
          <w:iCs/>
          <w:sz w:val="19"/>
          <w:szCs w:val="19"/>
        </w:rPr>
        <w:t xml:space="preserve">South West Design Africa Limited (SWDA)</w:t>
      </w:r>
    </w:p>
    <w:p>
      <w:pPr>
        <w:spacing w:after="40" w:before="300"/>
      </w:pPr>
      <w:r>
        <w:rPr>
          <w:rFonts w:ascii="Calibri" w:cs="Calibri" w:eastAsia="Calibri" w:hAnsi="Calibri"/>
          <w:sz w:val="20"/>
          <w:szCs w:val="20"/>
        </w:rPr>
        <w:t xml:space="preserve">Date: ____________________________</w:t>
      </w:r>
    </w:p>
    <w:sectPr>
      <w:headerReference w:type="default" r:id="rId13"/>
      <w:footerReference w:type="default" r:id="rId14"/>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CORPORATE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CORPORATE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CORPORATE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Organization &amp; Past Project Training Plan &amp; Competency Matrix</w:t>
    </w:r>
    <w:r>
      <w:rPr>
        <w:rFonts w:ascii="Calibri" w:cs="Calibri" w:eastAsia="Calibri" w:hAnsi="Calibri"/>
        <w:color w:val="0F6C6C"/>
        <w:sz w:val="15"/>
        <w:szCs w:val="15"/>
      </w:rPr>
      <w:t xml:space="preserve">	SWDA-2026-CORP-001-TPCM-PP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Organization &amp; Past Project Training Plan &amp; Competency Matrix</w:t>
    </w:r>
    <w:r>
      <w:rPr>
        <w:rFonts w:ascii="Calibri" w:cs="Calibri" w:eastAsia="Calibri" w:hAnsi="Calibri"/>
        <w:color w:val="0F6C6C"/>
        <w:sz w:val="15"/>
        <w:szCs w:val="15"/>
      </w:rPr>
      <w:t xml:space="preserve">	SWDA-2026-CORP-001-TPCM-PP</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Organization &amp; Past Project Training Plan &amp; Competency Matrix</w:t>
    </w:r>
    <w:r>
      <w:rPr>
        <w:rFonts w:ascii="Calibri" w:cs="Calibri" w:eastAsia="Calibri" w:hAnsi="Calibri"/>
        <w:color w:val="0F6C6C"/>
        <w:sz w:val="15"/>
        <w:szCs w:val="15"/>
      </w:rPr>
      <w:t xml:space="preserve">	SWDA-2026-CORP-001-TPCM-PP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2026-08-05T15:06:16.284Z</dcterms:created>
  <dcterms:modified xsi:type="dcterms:W3CDTF">2026-08-05T15:06:16.284Z</dcterms:modified>
</cp:coreProperties>
</file>

<file path=docProps/custom.xml><?xml version="1.0" encoding="utf-8"?>
<Properties xmlns="http://schemas.openxmlformats.org/officeDocument/2006/custom-properties" xmlns:vt="http://schemas.openxmlformats.org/officeDocument/2006/docPropsVTypes"/>
</file>