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5"/>
          <w:szCs w:val="25"/>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8" w:sz="14"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60" w:before="400" w:lineRule="auto"/>
        <w:jc w:val="center"/>
        <w:rPr/>
      </w:pPr>
      <w:r w:rsidDel="00000000" w:rsidR="00000000" w:rsidRPr="00000000">
        <w:rPr>
          <w:b w:val="1"/>
          <w:bCs w:val="1"/>
          <w:color w:val="1f3864"/>
          <w:sz w:val="32"/>
          <w:szCs w:val="32"/>
          <w:rtl w:val="0"/>
        </w:rPr>
        <w:t xml:space="preserve">EVIDENCE OF IN-DEPTH HSE-MS ANALYSIS</w:t>
      </w:r>
      <w:r w:rsidDel="00000000" w:rsidR="00000000" w:rsidRPr="00000000">
        <w:rPr>
          <w:rtl w:val="0"/>
        </w:rPr>
      </w:r>
    </w:p>
    <w:p w:rsidR="00000000" w:rsidDel="00000000" w:rsidP="00000000" w:rsidRDefault="00000000" w:rsidRPr="00000000" w14:paraId="00000004">
      <w:pPr>
        <w:spacing w:after="300" w:lineRule="auto"/>
        <w:jc w:val="center"/>
        <w:rPr/>
      </w:pPr>
      <w:r w:rsidDel="00000000" w:rsidR="00000000" w:rsidRPr="00000000">
        <w:rPr>
          <w:b w:val="1"/>
          <w:bCs w:val="1"/>
          <w:color w:val="000000"/>
          <w:sz w:val="21"/>
          <w:szCs w:val="21"/>
          <w:rtl w:val="0"/>
        </w:rPr>
        <w:t xml:space="preserve">KPI Trending, Employee Feedback &amp; PSO Effectiveness Assessment (2023–2025)</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60.0" w:type="dxa"/>
              <w:left w:w="90.0" w:type="dxa"/>
              <w:bottom w:w="60.0" w:type="dxa"/>
              <w:right w:w="90.0" w:type="dxa"/>
            </w:tcMar>
          </w:tcPr>
          <w:p w:rsidR="00000000" w:rsidDel="00000000" w:rsidP="00000000" w:rsidRDefault="00000000" w:rsidRPr="00000000" w14:paraId="00000005">
            <w:pPr>
              <w:jc w:val="center"/>
              <w:rPr/>
            </w:pPr>
            <w:r w:rsidDel="00000000" w:rsidR="00000000" w:rsidRPr="00000000">
              <w:rPr>
                <w:b w:val="1"/>
                <w:bCs w:val="1"/>
                <w:color w:val="ffffff"/>
                <w:sz w:val="16"/>
                <w:szCs w:val="16"/>
                <w:rtl w:val="0"/>
              </w:rPr>
              <w:t xml:space="preserve">FIELD</w:t>
            </w:r>
            <w:r w:rsidDel="00000000" w:rsidR="00000000" w:rsidRPr="00000000">
              <w:rPr>
                <w:rtl w:val="0"/>
              </w:rPr>
            </w:r>
          </w:p>
        </w:tc>
        <w:tc>
          <w:tcPr>
            <w:shd w:fill="1f3864" w:val="clear"/>
            <w:tcMar>
              <w:top w:w="60.0" w:type="dxa"/>
              <w:left w:w="90.0" w:type="dxa"/>
              <w:bottom w:w="6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6"/>
                <w:szCs w:val="16"/>
                <w:rtl w:val="0"/>
              </w:rPr>
              <w:t xml:space="preserve">DETAIL</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07">
            <w:pPr>
              <w:jc w:val="left"/>
              <w:rPr/>
            </w:pPr>
            <w:r w:rsidDel="00000000" w:rsidR="00000000" w:rsidRPr="00000000">
              <w:rPr>
                <w:b w:val="0"/>
                <w:bCs w:val="0"/>
                <w:color w:val="000000"/>
                <w:sz w:val="16"/>
                <w:szCs w:val="16"/>
                <w:rtl w:val="0"/>
              </w:rPr>
              <w:t xml:space="preserve">Document Title</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6"/>
                <w:szCs w:val="16"/>
                <w:rtl w:val="0"/>
              </w:rPr>
              <w:t xml:space="preserve">Evidence of In-Depth HSE-MS Analysis, KPI Trending, Employee Feedback &amp; PSO Effectiveness Assessment</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6"/>
                <w:szCs w:val="16"/>
                <w:rtl w:val="0"/>
              </w:rPr>
              <w:t xml:space="preserve">Document Control No.</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6"/>
                <w:szCs w:val="16"/>
                <w:rtl w:val="0"/>
              </w:rPr>
              <w:t xml:space="preserve">SWDA-HSE-REV-002</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6"/>
                <w:szCs w:val="16"/>
                <w:rtl w:val="0"/>
              </w:rPr>
              <w:t xml:space="preserve">Review Period</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6"/>
                <w:szCs w:val="16"/>
                <w:rtl w:val="0"/>
              </w:rPr>
              <w:t xml:space="preserve">1 January 2023 – 31 December 2025</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6"/>
                <w:szCs w:val="16"/>
                <w:rtl w:val="0"/>
              </w:rPr>
              <w:t xml:space="preserve">Companion Document</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6"/>
                <w:szCs w:val="16"/>
                <w:rtl w:val="0"/>
              </w:rPr>
              <w:t xml:space="preserve">SWDA HSE-MS System Review Report (SWDA-HSE-REV-001) — this document provides the underlying evidence base and expanded analysis</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6"/>
                <w:szCs w:val="16"/>
                <w:rtl w:val="0"/>
              </w:rPr>
              <w:t xml:space="preserve">Related HSE-MS Reference</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6"/>
                <w:szCs w:val="16"/>
                <w:rtl w:val="0"/>
              </w:rPr>
              <w:t xml:space="preserve">Corporate HSE Manual Section 3.10 (Management Review); Section 15.0 (Performance Monitoring)</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6"/>
                <w:szCs w:val="16"/>
                <w:rtl w:val="0"/>
              </w:rPr>
              <w:t xml:space="preserve">Custodian</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6"/>
                <w:szCs w:val="16"/>
                <w:rtl w:val="0"/>
              </w:rPr>
              <w:t xml:space="preserve">SWDA Regulatory Compliance Manager (Q-HSE Coordinator)</w:t>
            </w:r>
            <w:r w:rsidDel="00000000" w:rsidR="00000000" w:rsidRPr="00000000">
              <w:rPr>
                <w:rtl w:val="0"/>
              </w:rPr>
            </w:r>
          </w:p>
        </w:tc>
      </w:tr>
    </w:tbl>
    <w:p w:rsidR="00000000" w:rsidDel="00000000" w:rsidP="00000000" w:rsidRDefault="00000000" w:rsidRPr="00000000" w14:paraId="00000013">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4">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Engr. Ned Jessup, P.E. — COO / ED &amp; Project Director, SWDA</w:t>
      </w:r>
      <w:r w:rsidDel="00000000" w:rsidR="00000000" w:rsidRPr="00000000">
        <w:rPr>
          <w:rtl w:val="0"/>
        </w:rPr>
      </w:r>
    </w:p>
    <w:p w:rsidR="00000000" w:rsidDel="00000000" w:rsidP="00000000" w:rsidRDefault="00000000" w:rsidRPr="00000000" w14:paraId="00000015">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6">
      <w:pPr>
        <w:pStyle w:val="Heading1"/>
        <w:spacing w:after="140" w:before="300" w:lineRule="auto"/>
        <w:rPr/>
      </w:pPr>
      <w:r w:rsidDel="00000000" w:rsidR="00000000" w:rsidRPr="00000000">
        <w:rPr>
          <w:b w:val="1"/>
          <w:bCs w:val="1"/>
          <w:color w:val="1f3864"/>
          <w:sz w:val="26"/>
          <w:szCs w:val="26"/>
          <w:rtl w:val="0"/>
        </w:rPr>
        <w:t xml:space="preserve">1.0  Purpose &amp; Evidence Base</w:t>
      </w:r>
      <w:r w:rsidDel="00000000" w:rsidR="00000000" w:rsidRPr="00000000">
        <w:rPr>
          <w:rtl w:val="0"/>
        </w:rPr>
      </w:r>
    </w:p>
    <w:p w:rsidR="00000000" w:rsidDel="00000000" w:rsidP="00000000" w:rsidRDefault="00000000" w:rsidRPr="00000000" w14:paraId="00000017">
      <w:pPr>
        <w:spacing w:after="150" w:line="276" w:lineRule="auto"/>
        <w:rPr/>
      </w:pPr>
      <w:r w:rsidDel="00000000" w:rsidR="00000000" w:rsidRPr="00000000">
        <w:rPr>
          <w:sz w:val="20"/>
          <w:szCs w:val="20"/>
          <w:rtl w:val="0"/>
        </w:rPr>
        <w:t xml:space="preserve">This document sets out the evidence base and methodology underlying SWDA's HSE-MS System Review Report (SWDA-HSE-REV-001), demonstrating in-depth analysis of HSE-MS performance, structured KPI trending, and employee feedback, in order to determine the applicability, effectiveness and shortfalls of the Company's Process/Project Safety Objectives (PSOs) against expectations over 2023–2025.</w:t>
      </w:r>
      <w:r w:rsidDel="00000000" w:rsidR="00000000" w:rsidRPr="00000000">
        <w:rPr>
          <w:rtl w:val="0"/>
        </w:rPr>
      </w:r>
    </w:p>
    <w:p w:rsidR="00000000" w:rsidDel="00000000" w:rsidP="00000000" w:rsidRDefault="00000000" w:rsidRPr="00000000" w14:paraId="00000018">
      <w:pPr>
        <w:pStyle w:val="Heading2"/>
        <w:spacing w:after="100" w:before="200" w:lineRule="auto"/>
        <w:rPr/>
      </w:pPr>
      <w:r w:rsidDel="00000000" w:rsidR="00000000" w:rsidRPr="00000000">
        <w:rPr>
          <w:b w:val="1"/>
          <w:bCs w:val="1"/>
          <w:color w:val="1f3864"/>
          <w:sz w:val="21"/>
          <w:szCs w:val="21"/>
          <w:rtl w:val="0"/>
        </w:rPr>
        <w:t xml:space="preserve">1.1  Sources of Evidence Reviewed</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SWDA HSE Performance Statistics &amp; KPIs record (2023–2025) — Attachment 4 of the Renaissance ATC/NME HSE Plan</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Corporate HSE Manual (SWDA-HSE-MAN-001) — HSE-MS framework, policy statements and PSO/KPI targets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HSE-MS Quarterly Review Meeting Minutes (Q3 2025 – Q2 2026) — audit findings, action item tracking, and trend discussion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Site-level records: Workshop/Training Records, LTI Incident Tracking Record, and Unsafe Acts/Unsafe Conditions Log (Chevron Agbami FPSO)</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Employee HSE feedback and consultation sessions (toolbox talks, induction feedback, safety perception input) — see Section 3.0</w:t>
      </w:r>
    </w:p>
    <w:p w:rsidR="00000000" w:rsidDel="00000000" w:rsidP="00000000" w:rsidRDefault="00000000" w:rsidRPr="00000000" w14:paraId="0000001E">
      <w:pPr>
        <w:rPr/>
      </w:pPr>
      <w:r w:rsidDel="00000000" w:rsidR="00000000" w:rsidRPr="00000000">
        <w:br w:type="page"/>
      </w:r>
      <w:r w:rsidDel="00000000" w:rsidR="00000000" w:rsidRPr="00000000">
        <w:rPr>
          <w:rtl w:val="0"/>
        </w:rPr>
      </w:r>
    </w:p>
    <w:p w:rsidR="00000000" w:rsidDel="00000000" w:rsidP="00000000" w:rsidRDefault="00000000" w:rsidRPr="00000000" w14:paraId="0000001F">
      <w:pPr>
        <w:pStyle w:val="Heading1"/>
        <w:spacing w:after="140" w:before="300" w:lineRule="auto"/>
        <w:rPr/>
      </w:pPr>
      <w:r w:rsidDel="00000000" w:rsidR="00000000" w:rsidRPr="00000000">
        <w:rPr>
          <w:b w:val="1"/>
          <w:bCs w:val="1"/>
          <w:color w:val="1f3864"/>
          <w:sz w:val="26"/>
          <w:szCs w:val="26"/>
          <w:rtl w:val="0"/>
        </w:rPr>
        <w:t xml:space="preserve">2.0  HSE KPI Analysis &amp; Trending (2023–2025)</w:t>
      </w:r>
      <w:r w:rsidDel="00000000" w:rsidR="00000000" w:rsidRPr="00000000">
        <w:rPr>
          <w:rtl w:val="0"/>
        </w:rPr>
      </w:r>
    </w:p>
    <w:p w:rsidR="00000000" w:rsidDel="00000000" w:rsidP="00000000" w:rsidRDefault="00000000" w:rsidRPr="00000000" w14:paraId="00000020">
      <w:pPr>
        <w:spacing w:after="150" w:line="276" w:lineRule="auto"/>
        <w:rPr/>
      </w:pPr>
      <w:r w:rsidDel="00000000" w:rsidR="00000000" w:rsidRPr="00000000">
        <w:rPr>
          <w:sz w:val="20"/>
          <w:szCs w:val="20"/>
          <w:rtl w:val="0"/>
        </w:rPr>
        <w:t xml:space="preserve">The chart shared alongside this report plots two categories of KPI trend over the review period: leading indicators (Hazard Observations; Near-Miss/Stop-Work-Authority reports) and lagging indicators (Lost Time Injuries; Medical Treatment Cases; First Aid Cases).</w:t>
      </w:r>
      <w:r w:rsidDel="00000000" w:rsidR="00000000" w:rsidRPr="00000000">
        <w:rPr>
          <w:rtl w:val="0"/>
        </w:rPr>
      </w:r>
    </w:p>
    <w:p w:rsidR="00000000" w:rsidDel="00000000" w:rsidP="00000000" w:rsidRDefault="00000000" w:rsidRPr="00000000" w14:paraId="00000021">
      <w:pPr>
        <w:pStyle w:val="Heading2"/>
        <w:spacing w:after="100" w:before="200" w:lineRule="auto"/>
        <w:rPr/>
      </w:pPr>
      <w:r w:rsidDel="00000000" w:rsidR="00000000" w:rsidRPr="00000000">
        <w:rPr>
          <w:b w:val="1"/>
          <w:bCs w:val="1"/>
          <w:color w:val="1f3864"/>
          <w:sz w:val="21"/>
          <w:szCs w:val="21"/>
          <w:rtl w:val="0"/>
        </w:rPr>
        <w:t xml:space="preserve">2.1  Leading-Indicator Trend</w:t>
      </w:r>
      <w:r w:rsidDel="00000000" w:rsidR="00000000" w:rsidRPr="00000000">
        <w:rPr>
          <w:rtl w:val="0"/>
        </w:rPr>
      </w:r>
    </w:p>
    <w:p w:rsidR="00000000" w:rsidDel="00000000" w:rsidP="00000000" w:rsidRDefault="00000000" w:rsidRPr="00000000" w14:paraId="00000022">
      <w:pPr>
        <w:spacing w:after="150" w:line="276" w:lineRule="auto"/>
        <w:rPr/>
      </w:pPr>
      <w:r w:rsidDel="00000000" w:rsidR="00000000" w:rsidRPr="00000000">
        <w:rPr>
          <w:sz w:val="20"/>
          <w:szCs w:val="20"/>
          <w:rtl w:val="0"/>
        </w:rPr>
        <w:t xml:space="preserve">Hazard Observations fell from 10 (2023) to 8 (2024) to 6 (2025); Near-Miss/SWA reports fell from 32 to 31 to 28 over the same period. Both leading indicators moved consistently downward across all three years — a sustained trend, not a single-year fluctuation.</w:t>
      </w:r>
      <w:r w:rsidDel="00000000" w:rsidR="00000000" w:rsidRPr="00000000">
        <w:rPr>
          <w:rtl w:val="0"/>
        </w:rPr>
      </w:r>
    </w:p>
    <w:p w:rsidR="00000000" w:rsidDel="00000000" w:rsidP="00000000" w:rsidRDefault="00000000" w:rsidRPr="00000000" w14:paraId="00000023">
      <w:pPr>
        <w:pStyle w:val="Heading2"/>
        <w:spacing w:after="100" w:before="200" w:lineRule="auto"/>
        <w:rPr/>
      </w:pPr>
      <w:r w:rsidDel="00000000" w:rsidR="00000000" w:rsidRPr="00000000">
        <w:rPr>
          <w:b w:val="1"/>
          <w:bCs w:val="1"/>
          <w:color w:val="1f3864"/>
          <w:sz w:val="21"/>
          <w:szCs w:val="21"/>
          <w:rtl w:val="0"/>
        </w:rPr>
        <w:t xml:space="preserve">2.2  Lagging-Indicator Trend</w:t>
      </w:r>
      <w:r w:rsidDel="00000000" w:rsidR="00000000" w:rsidRPr="00000000">
        <w:rPr>
          <w:rtl w:val="0"/>
        </w:rPr>
      </w:r>
    </w:p>
    <w:p w:rsidR="00000000" w:rsidDel="00000000" w:rsidP="00000000" w:rsidRDefault="00000000" w:rsidRPr="00000000" w14:paraId="00000024">
      <w:pPr>
        <w:spacing w:after="150" w:line="276" w:lineRule="auto"/>
        <w:rPr/>
      </w:pPr>
      <w:r w:rsidDel="00000000" w:rsidR="00000000" w:rsidRPr="00000000">
        <w:rPr>
          <w:rFonts w:ascii="Cardo" w:cs="Cardo" w:eastAsia="Cardo" w:hAnsi="Cardo"/>
          <w:sz w:val="20"/>
          <w:szCs w:val="20"/>
          <w:rtl w:val="0"/>
        </w:rPr>
        <w:t xml:space="preserve">Medical Treatment and First Aid Cases both rose in 2024 (0→2) before falling back in 2025 (2→1). The Lost Time Injury count moved from 0 (2023, 2024) to 1 (2025) — the only lagging-indicator deterioration across the period, and it occurred in the same year leading-indicator reporting reached its lowest point.</w:t>
      </w:r>
      <w:r w:rsidDel="00000000" w:rsidR="00000000" w:rsidRPr="00000000">
        <w:rPr>
          <w:rtl w:val="0"/>
        </w:rPr>
      </w:r>
    </w:p>
    <w:tbl>
      <w:tblPr>
        <w:tblStyle w:val="Table2"/>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25">
            <w:pPr>
              <w:spacing w:after="60" w:lineRule="auto"/>
              <w:rPr/>
            </w:pPr>
            <w:r w:rsidDel="00000000" w:rsidR="00000000" w:rsidRPr="00000000">
              <w:rPr>
                <w:b w:val="1"/>
                <w:bCs w:val="1"/>
                <w:color w:val="1f3864"/>
                <w:sz w:val="20"/>
                <w:szCs w:val="20"/>
                <w:rtl w:val="0"/>
              </w:rPr>
              <w:t xml:space="preserve">ANALYTICAL CONCLUSION</w:t>
            </w:r>
            <w:r w:rsidDel="00000000" w:rsidR="00000000" w:rsidRPr="00000000">
              <w:rPr>
                <w:rtl w:val="0"/>
              </w:rPr>
            </w:r>
          </w:p>
          <w:p w:rsidR="00000000" w:rsidDel="00000000" w:rsidP="00000000" w:rsidRDefault="00000000" w:rsidRPr="00000000" w14:paraId="00000026">
            <w:pPr>
              <w:rPr/>
            </w:pPr>
            <w:r w:rsidDel="00000000" w:rsidR="00000000" w:rsidRPr="00000000">
              <w:rPr>
                <w:sz w:val="20"/>
                <w:szCs w:val="20"/>
                <w:rtl w:val="0"/>
              </w:rPr>
              <w:t xml:space="preserve">Read together, the two trend lines do not support a simple 'things are improving' reading of the falling Hazard Observation and Near-Miss counts. A falling leading-indicator trend that coincides with a lagging-indicator event (the 2025 LTI) is more consistent with reduced hazard-spotting/reporting activity than with a genuinely safer worksite. This is the central evidentiary finding of the 3-year review.</w:t>
            </w:r>
            <w:r w:rsidDel="00000000" w:rsidR="00000000" w:rsidRPr="00000000">
              <w:rPr>
                <w:rtl w:val="0"/>
              </w:rPr>
            </w:r>
          </w:p>
        </w:tc>
      </w:tr>
    </w:tbl>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spacing w:after="140" w:before="300" w:lineRule="auto"/>
        <w:rPr/>
      </w:pPr>
      <w:r w:rsidDel="00000000" w:rsidR="00000000" w:rsidRPr="00000000">
        <w:rPr>
          <w:b w:val="1"/>
          <w:bCs w:val="1"/>
          <w:color w:val="1f3864"/>
          <w:sz w:val="26"/>
          <w:szCs w:val="26"/>
          <w:rtl w:val="0"/>
        </w:rPr>
        <w:t xml:space="preserve">3.0  Employee Feedback &amp; Consultation Sessions</w:t>
      </w:r>
      <w:r w:rsidDel="00000000" w:rsidR="00000000" w:rsidRPr="00000000">
        <w:rPr>
          <w:rtl w:val="0"/>
        </w:rPr>
      </w:r>
    </w:p>
    <w:p w:rsidR="00000000" w:rsidDel="00000000" w:rsidP="00000000" w:rsidRDefault="00000000" w:rsidRPr="00000000" w14:paraId="00000029">
      <w:pPr>
        <w:spacing w:after="150" w:line="276" w:lineRule="auto"/>
        <w:rPr/>
      </w:pPr>
      <w:r w:rsidDel="00000000" w:rsidR="00000000" w:rsidRPr="00000000">
        <w:rPr>
          <w:sz w:val="20"/>
          <w:szCs w:val="20"/>
          <w:rtl w:val="0"/>
        </w:rPr>
        <w:t xml:space="preserve">SWDA's HSE-MS Section 8.2 (Toolbox Talks &amp; Safety Meetings) and the Cascade of Standards both provide for regular employee HSE feedback and consultation. The table below sets out the feedback mechanisms in use and their status as evidence inputs to this review.</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1750"/>
        <w:gridCol w:w="4700"/>
        <w:tblGridChange w:id="0">
          <w:tblGrid>
            <w:gridCol w:w="2900"/>
            <w:gridCol w:w="1750"/>
            <w:gridCol w:w="4700"/>
          </w:tblGrid>
        </w:tblGridChange>
      </w:tblGrid>
      <w:tr>
        <w:trPr>
          <w:cantSplit w:val="1"/>
          <w:tblHeader w:val="1"/>
        </w:trPr>
        <w:tc>
          <w:tcPr>
            <w:shd w:fill="1f3864" w:val="clear"/>
            <w:tcMar>
              <w:top w:w="60.0" w:type="dxa"/>
              <w:left w:w="90.0" w:type="dxa"/>
              <w:bottom w:w="60.0" w:type="dxa"/>
              <w:right w:w="90.0" w:type="dxa"/>
            </w:tcMar>
          </w:tcPr>
          <w:p w:rsidR="00000000" w:rsidDel="00000000" w:rsidP="00000000" w:rsidRDefault="00000000" w:rsidRPr="00000000" w14:paraId="0000002A">
            <w:pPr>
              <w:jc w:val="center"/>
              <w:rPr/>
            </w:pPr>
            <w:r w:rsidDel="00000000" w:rsidR="00000000" w:rsidRPr="00000000">
              <w:rPr>
                <w:b w:val="1"/>
                <w:bCs w:val="1"/>
                <w:color w:val="ffffff"/>
                <w:sz w:val="16"/>
                <w:szCs w:val="16"/>
                <w:rtl w:val="0"/>
              </w:rPr>
              <w:t xml:space="preserve">FEEDBACK MECHANISM</w:t>
            </w:r>
            <w:r w:rsidDel="00000000" w:rsidR="00000000" w:rsidRPr="00000000">
              <w:rPr>
                <w:rtl w:val="0"/>
              </w:rPr>
            </w:r>
          </w:p>
        </w:tc>
        <w:tc>
          <w:tcPr>
            <w:shd w:fill="1f3864" w:val="clear"/>
            <w:tcMar>
              <w:top w:w="60.0" w:type="dxa"/>
              <w:left w:w="90.0" w:type="dxa"/>
              <w:bottom w:w="60.0" w:type="dxa"/>
              <w:right w:w="90.0" w:type="dxa"/>
            </w:tcMar>
          </w:tcPr>
          <w:p w:rsidR="00000000" w:rsidDel="00000000" w:rsidP="00000000" w:rsidRDefault="00000000" w:rsidRPr="00000000" w14:paraId="0000002B">
            <w:pPr>
              <w:jc w:val="center"/>
              <w:rPr/>
            </w:pPr>
            <w:r w:rsidDel="00000000" w:rsidR="00000000" w:rsidRPr="00000000">
              <w:rPr>
                <w:b w:val="1"/>
                <w:bCs w:val="1"/>
                <w:color w:val="ffffff"/>
                <w:sz w:val="16"/>
                <w:szCs w:val="16"/>
                <w:rtl w:val="0"/>
              </w:rPr>
              <w:t xml:space="preserve">FREQUENCY</w:t>
            </w:r>
            <w:r w:rsidDel="00000000" w:rsidR="00000000" w:rsidRPr="00000000">
              <w:rPr>
                <w:rtl w:val="0"/>
              </w:rPr>
            </w:r>
          </w:p>
        </w:tc>
        <w:tc>
          <w:tcPr>
            <w:shd w:fill="1f3864" w:val="clear"/>
            <w:tcMar>
              <w:top w:w="60.0" w:type="dxa"/>
              <w:left w:w="90.0" w:type="dxa"/>
              <w:bottom w:w="60.0" w:type="dxa"/>
              <w:right w:w="90.0" w:type="dxa"/>
            </w:tcMar>
          </w:tcPr>
          <w:p w:rsidR="00000000" w:rsidDel="00000000" w:rsidP="00000000" w:rsidRDefault="00000000" w:rsidRPr="00000000" w14:paraId="0000002C">
            <w:pPr>
              <w:jc w:val="center"/>
              <w:rPr/>
            </w:pPr>
            <w:r w:rsidDel="00000000" w:rsidR="00000000" w:rsidRPr="00000000">
              <w:rPr>
                <w:b w:val="1"/>
                <w:bCs w:val="1"/>
                <w:color w:val="ffffff"/>
                <w:sz w:val="16"/>
                <w:szCs w:val="16"/>
                <w:rtl w:val="0"/>
              </w:rPr>
              <w:t xml:space="preserve">EVIDENCE STATUS FOR THIS REVIEW</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6"/>
                <w:szCs w:val="16"/>
                <w:rtl w:val="0"/>
              </w:rPr>
              <w:t xml:space="preserve">Toolbox talks (site-level, informal feedback captured)</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6"/>
                <w:szCs w:val="16"/>
                <w:rtl w:val="0"/>
              </w:rPr>
              <w:t xml:space="preserve">Start of each shift / task change</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6"/>
                <w:szCs w:val="16"/>
                <w:rtl w:val="0"/>
              </w:rPr>
              <w:t xml:space="preserve">Attendance records available; thematic feedback not yet systematically logged — recommend structured capture (Section 5.0)</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6"/>
                <w:szCs w:val="16"/>
                <w:rtl w:val="0"/>
              </w:rPr>
              <w:t xml:space="preserve">Post-induction feedback (new starters, Company office &amp; sites)</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6"/>
                <w:szCs w:val="16"/>
                <w:rtl w:val="0"/>
              </w:rPr>
              <w:t xml:space="preserve">At completion of induction</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6"/>
                <w:szCs w:val="16"/>
                <w:rtl w:val="0"/>
              </w:rPr>
              <w:t xml:space="preserve">Acknowledgement captured; satisfaction/comprehension feedback not yet separately recorded</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6"/>
                <w:szCs w:val="16"/>
                <w:rtl w:val="0"/>
              </w:rPr>
              <w:t xml:space="preserve">HSE-MS Quarterly Review Meeting input</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6"/>
                <w:szCs w:val="16"/>
                <w:rtl w:val="0"/>
              </w:rPr>
              <w:t xml:space="preserve">Quarterly</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6"/>
                <w:szCs w:val="16"/>
                <w:rtl w:val="0"/>
              </w:rPr>
              <w:t xml:space="preserve">Minutes available (Q3 2025 – Q2 2026); site-level supervisor input captured, broader workforce survey not yet conducted</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6"/>
                <w:szCs w:val="16"/>
                <w:rtl w:val="0"/>
              </w:rPr>
              <w:t xml:space="preserve">Annual safety perception survey</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37">
            <w:pPr>
              <w:jc w:val="left"/>
              <w:rPr/>
            </w:pPr>
            <w:r w:rsidDel="00000000" w:rsidR="00000000" w:rsidRPr="00000000">
              <w:rPr>
                <w:b w:val="0"/>
                <w:bCs w:val="0"/>
                <w:color w:val="000000"/>
                <w:sz w:val="16"/>
                <w:szCs w:val="16"/>
                <w:rtl w:val="0"/>
              </w:rPr>
              <w:t xml:space="preserve">Not yet implemented</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38">
            <w:pPr>
              <w:jc w:val="left"/>
              <w:rPr/>
            </w:pPr>
            <w:r w:rsidDel="00000000" w:rsidR="00000000" w:rsidRPr="00000000">
              <w:rPr>
                <w:b w:val="0"/>
                <w:bCs w:val="0"/>
                <w:color w:val="000000"/>
                <w:sz w:val="16"/>
                <w:szCs w:val="16"/>
                <w:rtl w:val="0"/>
              </w:rPr>
              <w:t xml:space="preserve">No records available — identified gap; recommended for introduction (Section 5.0)</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39">
            <w:pPr>
              <w:jc w:val="left"/>
              <w:rPr/>
            </w:pPr>
            <w:r w:rsidDel="00000000" w:rsidR="00000000" w:rsidRPr="00000000">
              <w:rPr>
                <w:b w:val="0"/>
                <w:bCs w:val="0"/>
                <w:color w:val="000000"/>
                <w:sz w:val="16"/>
                <w:szCs w:val="16"/>
                <w:rtl w:val="0"/>
              </w:rPr>
              <w:t xml:space="preserve">Incident/near-miss reporter follow-up</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3A">
            <w:pPr>
              <w:jc w:val="left"/>
              <w:rPr/>
            </w:pPr>
            <w:r w:rsidDel="00000000" w:rsidR="00000000" w:rsidRPr="00000000">
              <w:rPr>
                <w:b w:val="0"/>
                <w:bCs w:val="0"/>
                <w:color w:val="000000"/>
                <w:sz w:val="16"/>
                <w:szCs w:val="16"/>
                <w:rtl w:val="0"/>
              </w:rPr>
              <w:t xml:space="preserve">Per incident</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3B">
            <w:pPr>
              <w:jc w:val="left"/>
              <w:rPr/>
            </w:pPr>
            <w:r w:rsidDel="00000000" w:rsidR="00000000" w:rsidRPr="00000000">
              <w:rPr>
                <w:b w:val="0"/>
                <w:bCs w:val="0"/>
                <w:color w:val="000000"/>
                <w:sz w:val="16"/>
                <w:szCs w:val="16"/>
                <w:rtl w:val="0"/>
              </w:rPr>
              <w:t xml:space="preserve">Captured within LTI Tracking Record and UA/UC Log where reports are made</w:t>
            </w:r>
            <w:r w:rsidDel="00000000" w:rsidR="00000000" w:rsidRPr="00000000">
              <w:rPr>
                <w:rtl w:val="0"/>
              </w:rPr>
            </w:r>
          </w:p>
        </w:tc>
      </w:tr>
    </w:tbl>
    <w:p w:rsidR="00000000" w:rsidDel="00000000" w:rsidP="00000000" w:rsidRDefault="00000000" w:rsidRPr="00000000" w14:paraId="0000003C">
      <w:pPr>
        <w:spacing w:after="150" w:line="276" w:lineRule="auto"/>
        <w:rPr/>
      </w:pPr>
      <w:r w:rsidDel="00000000" w:rsidR="00000000" w:rsidRPr="00000000">
        <w:rPr>
          <w:i w:val="1"/>
          <w:iCs w:val="1"/>
          <w:sz w:val="18"/>
          <w:szCs w:val="18"/>
          <w:rtl w:val="0"/>
        </w:rPr>
        <w:t xml:space="preserve">Note: a formal, workforce-wide annual safety perception survey is not yet part of SWDA's evidence base. Given the leading-indicator decline identified in Section 2.2, introducing this survey is a specific recommendation of this review (Section 5.0), as it would help determine whether the decline reflects reduced hazard-spotting, reduced willingness to report, or a genuine reduction in hazards.</w:t>
      </w:r>
      <w:r w:rsidDel="00000000" w:rsidR="00000000" w:rsidRPr="00000000">
        <w:rPr>
          <w:rtl w:val="0"/>
        </w:rPr>
      </w:r>
    </w:p>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spacing w:after="140" w:before="300" w:lineRule="auto"/>
        <w:rPr/>
      </w:pPr>
      <w:r w:rsidDel="00000000" w:rsidR="00000000" w:rsidRPr="00000000">
        <w:rPr>
          <w:b w:val="1"/>
          <w:bCs w:val="1"/>
          <w:color w:val="1f3864"/>
          <w:sz w:val="26"/>
          <w:szCs w:val="26"/>
          <w:rtl w:val="0"/>
        </w:rPr>
        <w:t xml:space="preserve">4.0  PSO Applicability, Effectiveness &amp; Shortfalls Assessment</w:t>
      </w:r>
      <w:r w:rsidDel="00000000" w:rsidR="00000000" w:rsidRPr="00000000">
        <w:rPr>
          <w:rtl w:val="0"/>
        </w:rPr>
      </w:r>
    </w:p>
    <w:p w:rsidR="00000000" w:rsidDel="00000000" w:rsidP="00000000" w:rsidRDefault="00000000" w:rsidRPr="00000000" w14:paraId="0000003F">
      <w:pPr>
        <w:spacing w:after="150" w:line="276" w:lineRule="auto"/>
        <w:rPr/>
      </w:pPr>
      <w:r w:rsidDel="00000000" w:rsidR="00000000" w:rsidRPr="00000000">
        <w:rPr>
          <w:sz w:val="20"/>
          <w:szCs w:val="20"/>
          <w:rtl w:val="0"/>
        </w:rPr>
        <w:t xml:space="preserve">The table below assesses each Process/Project Safety Objective (PSO) — the KPI targets in Section 2.0 of the companion Review Report — against three questions: was the target applicable to SWDA's actual operations; was it effective in driving the intended outcome; and what shortfall, if any, was identified.</w:t>
      </w: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00"/>
        <w:gridCol w:w="2350"/>
        <w:gridCol w:w="2500"/>
        <w:gridCol w:w="2200"/>
        <w:tblGridChange w:id="0">
          <w:tblGrid>
            <w:gridCol w:w="2300"/>
            <w:gridCol w:w="2350"/>
            <w:gridCol w:w="2500"/>
            <w:gridCol w:w="2200"/>
          </w:tblGrid>
        </w:tblGridChange>
      </w:tblGrid>
      <w:tr>
        <w:trPr>
          <w:cantSplit w:val="1"/>
          <w:tblHeader w:val="1"/>
        </w:trPr>
        <w:tc>
          <w:tcPr>
            <w:shd w:fill="1f3864" w:val="clear"/>
            <w:tcMar>
              <w:top w:w="60.0" w:type="dxa"/>
              <w:left w:w="90.0" w:type="dxa"/>
              <w:bottom w:w="60.0" w:type="dxa"/>
              <w:right w:w="90.0" w:type="dxa"/>
            </w:tcMar>
          </w:tcPr>
          <w:p w:rsidR="00000000" w:rsidDel="00000000" w:rsidP="00000000" w:rsidRDefault="00000000" w:rsidRPr="00000000" w14:paraId="00000040">
            <w:pPr>
              <w:jc w:val="center"/>
              <w:rPr/>
            </w:pPr>
            <w:r w:rsidDel="00000000" w:rsidR="00000000" w:rsidRPr="00000000">
              <w:rPr>
                <w:b w:val="1"/>
                <w:bCs w:val="1"/>
                <w:color w:val="ffffff"/>
                <w:sz w:val="16"/>
                <w:szCs w:val="16"/>
                <w:rtl w:val="0"/>
              </w:rPr>
              <w:t xml:space="preserve">PSO / OBJECTIVE</w:t>
            </w:r>
            <w:r w:rsidDel="00000000" w:rsidR="00000000" w:rsidRPr="00000000">
              <w:rPr>
                <w:rtl w:val="0"/>
              </w:rPr>
            </w:r>
          </w:p>
        </w:tc>
        <w:tc>
          <w:tcPr>
            <w:shd w:fill="1f3864" w:val="clear"/>
            <w:tcMar>
              <w:top w:w="60.0" w:type="dxa"/>
              <w:left w:w="90.0" w:type="dxa"/>
              <w:bottom w:w="60.0" w:type="dxa"/>
              <w:right w:w="90.0" w:type="dxa"/>
            </w:tcMar>
          </w:tcPr>
          <w:p w:rsidR="00000000" w:rsidDel="00000000" w:rsidP="00000000" w:rsidRDefault="00000000" w:rsidRPr="00000000" w14:paraId="00000041">
            <w:pPr>
              <w:jc w:val="center"/>
              <w:rPr/>
            </w:pPr>
            <w:r w:rsidDel="00000000" w:rsidR="00000000" w:rsidRPr="00000000">
              <w:rPr>
                <w:b w:val="1"/>
                <w:bCs w:val="1"/>
                <w:color w:val="ffffff"/>
                <w:sz w:val="16"/>
                <w:szCs w:val="16"/>
                <w:rtl w:val="0"/>
              </w:rPr>
              <w:t xml:space="preserve">APPLICABILITY</w:t>
            </w:r>
            <w:r w:rsidDel="00000000" w:rsidR="00000000" w:rsidRPr="00000000">
              <w:rPr>
                <w:rtl w:val="0"/>
              </w:rPr>
            </w:r>
          </w:p>
        </w:tc>
        <w:tc>
          <w:tcPr>
            <w:shd w:fill="1f3864" w:val="clear"/>
            <w:tcMar>
              <w:top w:w="60.0" w:type="dxa"/>
              <w:left w:w="90.0" w:type="dxa"/>
              <w:bottom w:w="60.0" w:type="dxa"/>
              <w:right w:w="90.0" w:type="dxa"/>
            </w:tcMar>
          </w:tcPr>
          <w:p w:rsidR="00000000" w:rsidDel="00000000" w:rsidP="00000000" w:rsidRDefault="00000000" w:rsidRPr="00000000" w14:paraId="00000042">
            <w:pPr>
              <w:jc w:val="center"/>
              <w:rPr/>
            </w:pPr>
            <w:r w:rsidDel="00000000" w:rsidR="00000000" w:rsidRPr="00000000">
              <w:rPr>
                <w:b w:val="1"/>
                <w:bCs w:val="1"/>
                <w:color w:val="ffffff"/>
                <w:sz w:val="16"/>
                <w:szCs w:val="16"/>
                <w:rtl w:val="0"/>
              </w:rPr>
              <w:t xml:space="preserve">EFFECTIVENESS</w:t>
            </w:r>
            <w:r w:rsidDel="00000000" w:rsidR="00000000" w:rsidRPr="00000000">
              <w:rPr>
                <w:rtl w:val="0"/>
              </w:rPr>
            </w:r>
          </w:p>
        </w:tc>
        <w:tc>
          <w:tcPr>
            <w:shd w:fill="1f3864" w:val="clear"/>
            <w:tcMar>
              <w:top w:w="60.0" w:type="dxa"/>
              <w:left w:w="90.0" w:type="dxa"/>
              <w:bottom w:w="60.0" w:type="dxa"/>
              <w:right w:w="90.0" w:type="dxa"/>
            </w:tcMar>
          </w:tcPr>
          <w:p w:rsidR="00000000" w:rsidDel="00000000" w:rsidP="00000000" w:rsidRDefault="00000000" w:rsidRPr="00000000" w14:paraId="00000043">
            <w:pPr>
              <w:jc w:val="center"/>
              <w:rPr/>
            </w:pPr>
            <w:r w:rsidDel="00000000" w:rsidR="00000000" w:rsidRPr="00000000">
              <w:rPr>
                <w:b w:val="1"/>
                <w:bCs w:val="1"/>
                <w:color w:val="ffffff"/>
                <w:sz w:val="16"/>
                <w:szCs w:val="16"/>
                <w:rtl w:val="0"/>
              </w:rPr>
              <w:t xml:space="preserve">SHORTFALL IDENTIFIED</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44">
            <w:pPr>
              <w:jc w:val="left"/>
              <w:rPr/>
            </w:pPr>
            <w:r w:rsidDel="00000000" w:rsidR="00000000" w:rsidRPr="00000000">
              <w:rPr>
                <w:b w:val="0"/>
                <w:bCs w:val="0"/>
                <w:color w:val="000000"/>
                <w:sz w:val="16"/>
                <w:szCs w:val="16"/>
                <w:rtl w:val="0"/>
              </w:rPr>
              <w:t xml:space="preserve">Zero Fatalities</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5">
            <w:pPr>
              <w:jc w:val="left"/>
              <w:rPr/>
            </w:pPr>
            <w:r w:rsidDel="00000000" w:rsidR="00000000" w:rsidRPr="00000000">
              <w:rPr>
                <w:b w:val="0"/>
                <w:bCs w:val="0"/>
                <w:color w:val="000000"/>
                <w:sz w:val="16"/>
                <w:szCs w:val="16"/>
                <w:rtl w:val="0"/>
              </w:rPr>
              <w:t xml:space="preserve">Fully applicable — core objective for all confined-space/tank-entry operations</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6">
            <w:pPr>
              <w:jc w:val="left"/>
              <w:rPr/>
            </w:pPr>
            <w:r w:rsidDel="00000000" w:rsidR="00000000" w:rsidRPr="00000000">
              <w:rPr>
                <w:b w:val="0"/>
                <w:bCs w:val="0"/>
                <w:color w:val="000000"/>
                <w:sz w:val="16"/>
                <w:szCs w:val="16"/>
                <w:rtl w:val="0"/>
              </w:rPr>
              <w:t xml:space="preserve">Effective — sustained for all 3 years despite MHW growth</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7">
            <w:pPr>
              <w:jc w:val="left"/>
              <w:rPr/>
            </w:pPr>
            <w:r w:rsidDel="00000000" w:rsidR="00000000" w:rsidRPr="00000000">
              <w:rPr>
                <w:b w:val="0"/>
                <w:bCs w:val="0"/>
                <w:color w:val="000000"/>
                <w:sz w:val="16"/>
                <w:szCs w:val="16"/>
                <w:rtl w:val="0"/>
              </w:rPr>
              <w:t xml:space="preserve">None</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48">
            <w:pPr>
              <w:jc w:val="left"/>
              <w:rPr/>
            </w:pPr>
            <w:r w:rsidDel="00000000" w:rsidR="00000000" w:rsidRPr="00000000">
              <w:rPr>
                <w:b w:val="0"/>
                <w:bCs w:val="0"/>
                <w:color w:val="000000"/>
                <w:sz w:val="16"/>
                <w:szCs w:val="16"/>
                <w:rtl w:val="0"/>
              </w:rPr>
              <w:t xml:space="preserve">Zero LTI</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49">
            <w:pPr>
              <w:jc w:val="left"/>
              <w:rPr/>
            </w:pPr>
            <w:r w:rsidDel="00000000" w:rsidR="00000000" w:rsidRPr="00000000">
              <w:rPr>
                <w:b w:val="0"/>
                <w:bCs w:val="0"/>
                <w:color w:val="000000"/>
                <w:sz w:val="16"/>
                <w:szCs w:val="16"/>
                <w:rtl w:val="0"/>
              </w:rPr>
              <w:t xml:space="preserve">Fully applicable</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4A">
            <w:pPr>
              <w:jc w:val="left"/>
              <w:rPr/>
            </w:pPr>
            <w:r w:rsidDel="00000000" w:rsidR="00000000" w:rsidRPr="00000000">
              <w:rPr>
                <w:b w:val="0"/>
                <w:bCs w:val="0"/>
                <w:color w:val="000000"/>
                <w:sz w:val="16"/>
                <w:szCs w:val="16"/>
                <w:rtl w:val="0"/>
              </w:rPr>
              <w:t xml:space="preserve">Partially effective — met in 2023–2024, missed in 2025</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4B">
            <w:pPr>
              <w:jc w:val="left"/>
              <w:rPr/>
            </w:pPr>
            <w:r w:rsidDel="00000000" w:rsidR="00000000" w:rsidRPr="00000000">
              <w:rPr>
                <w:b w:val="0"/>
                <w:bCs w:val="0"/>
                <w:color w:val="000000"/>
                <w:sz w:val="16"/>
                <w:szCs w:val="16"/>
                <w:rtl w:val="0"/>
              </w:rPr>
              <w:t xml:space="preserve">2025 LTI breach; requires root-cause verification against declining leading indicators</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4C">
            <w:pPr>
              <w:jc w:val="left"/>
              <w:rPr/>
            </w:pPr>
            <w:r w:rsidDel="00000000" w:rsidR="00000000" w:rsidRPr="00000000">
              <w:rPr>
                <w:rFonts w:ascii="Gungsuh" w:cs="Gungsuh" w:eastAsia="Gungsuh" w:hAnsi="Gungsuh"/>
                <w:b w:val="0"/>
                <w:bCs w:val="0"/>
                <w:color w:val="000000"/>
                <w:sz w:val="16"/>
                <w:szCs w:val="16"/>
                <w:rtl w:val="0"/>
              </w:rPr>
              <w:t xml:space="preserve">MTC ≤ 1 / yr</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D">
            <w:pPr>
              <w:jc w:val="left"/>
              <w:rPr/>
            </w:pPr>
            <w:r w:rsidDel="00000000" w:rsidR="00000000" w:rsidRPr="00000000">
              <w:rPr>
                <w:b w:val="0"/>
                <w:bCs w:val="0"/>
                <w:color w:val="000000"/>
                <w:sz w:val="16"/>
                <w:szCs w:val="16"/>
                <w:rtl w:val="0"/>
              </w:rPr>
              <w:t xml:space="preserve">Applicable, though a lagging rather than leading target</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E">
            <w:pPr>
              <w:jc w:val="left"/>
              <w:rPr/>
            </w:pPr>
            <w:r w:rsidDel="00000000" w:rsidR="00000000" w:rsidRPr="00000000">
              <w:rPr>
                <w:b w:val="0"/>
                <w:bCs w:val="0"/>
                <w:color w:val="000000"/>
                <w:sz w:val="16"/>
                <w:szCs w:val="16"/>
                <w:rtl w:val="0"/>
              </w:rPr>
              <w:t xml:space="preserve">Partially effective — exceeded in 2024 (2 cases)</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4F">
            <w:pPr>
              <w:jc w:val="left"/>
              <w:rPr/>
            </w:pPr>
            <w:r w:rsidDel="00000000" w:rsidR="00000000" w:rsidRPr="00000000">
              <w:rPr>
                <w:b w:val="0"/>
                <w:bCs w:val="0"/>
                <w:color w:val="000000"/>
                <w:sz w:val="16"/>
                <w:szCs w:val="16"/>
                <w:rtl w:val="0"/>
              </w:rPr>
              <w:t xml:space="preserve">2024 shortfall not fully explained by existing records; recommend causal review</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50">
            <w:pPr>
              <w:jc w:val="left"/>
              <w:rPr/>
            </w:pPr>
            <w:r w:rsidDel="00000000" w:rsidR="00000000" w:rsidRPr="00000000">
              <w:rPr>
                <w:b w:val="0"/>
                <w:bCs w:val="0"/>
                <w:color w:val="000000"/>
                <w:sz w:val="16"/>
                <w:szCs w:val="16"/>
                <w:rtl w:val="0"/>
              </w:rPr>
              <w:t xml:space="preserve">First Aid Cases &lt; 2 / yr</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51">
            <w:pPr>
              <w:jc w:val="left"/>
              <w:rPr/>
            </w:pPr>
            <w:r w:rsidDel="00000000" w:rsidR="00000000" w:rsidRPr="00000000">
              <w:rPr>
                <w:b w:val="0"/>
                <w:bCs w:val="0"/>
                <w:color w:val="000000"/>
                <w:sz w:val="16"/>
                <w:szCs w:val="16"/>
                <w:rtl w:val="0"/>
              </w:rPr>
              <w:t xml:space="preserve">Applicable as an early-warning indicator</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52">
            <w:pPr>
              <w:jc w:val="left"/>
              <w:rPr/>
            </w:pPr>
            <w:r w:rsidDel="00000000" w:rsidR="00000000" w:rsidRPr="00000000">
              <w:rPr>
                <w:b w:val="0"/>
                <w:bCs w:val="0"/>
                <w:color w:val="000000"/>
                <w:sz w:val="16"/>
                <w:szCs w:val="16"/>
                <w:rtl w:val="0"/>
              </w:rPr>
              <w:t xml:space="preserve">Marginally effective — at/above threshold in 2024</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53">
            <w:pPr>
              <w:jc w:val="left"/>
              <w:rPr/>
            </w:pPr>
            <w:r w:rsidDel="00000000" w:rsidR="00000000" w:rsidRPr="00000000">
              <w:rPr>
                <w:b w:val="0"/>
                <w:bCs w:val="0"/>
                <w:color w:val="000000"/>
                <w:sz w:val="16"/>
                <w:szCs w:val="16"/>
                <w:rtl w:val="0"/>
              </w:rPr>
              <w:t xml:space="preserve">Threshold may be too tight to distinguish genuine change from normal variation</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54">
            <w:pPr>
              <w:jc w:val="left"/>
              <w:rPr/>
            </w:pPr>
            <w:r w:rsidDel="00000000" w:rsidR="00000000" w:rsidRPr="00000000">
              <w:rPr>
                <w:b w:val="0"/>
                <w:bCs w:val="0"/>
                <w:color w:val="000000"/>
                <w:sz w:val="16"/>
                <w:szCs w:val="16"/>
                <w:rtl w:val="0"/>
              </w:rPr>
              <w:t xml:space="preserve">Near-Miss/SWA reporting &lt; 2 / 40</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55">
            <w:pPr>
              <w:jc w:val="left"/>
              <w:rPr/>
            </w:pPr>
            <w:r w:rsidDel="00000000" w:rsidR="00000000" w:rsidRPr="00000000">
              <w:rPr>
                <w:b w:val="0"/>
                <w:bCs w:val="0"/>
                <w:color w:val="000000"/>
                <w:sz w:val="16"/>
                <w:szCs w:val="16"/>
                <w:rtl w:val="0"/>
              </w:rPr>
              <w:t xml:space="preserve">Applicable, but target format (a ceiling) may be miscalibrated for a leading indicator</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56">
            <w:pPr>
              <w:jc w:val="left"/>
              <w:rPr/>
            </w:pPr>
            <w:r w:rsidDel="00000000" w:rsidR="00000000" w:rsidRPr="00000000">
              <w:rPr>
                <w:b w:val="0"/>
                <w:bCs w:val="0"/>
                <w:color w:val="000000"/>
                <w:sz w:val="16"/>
                <w:szCs w:val="16"/>
                <w:rtl w:val="0"/>
              </w:rPr>
              <w:t xml:space="preserve">Not effective as currently framed — reporting volume fell, which a ceiling target cannot flag as a problem</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57">
            <w:pPr>
              <w:jc w:val="left"/>
              <w:rPr/>
            </w:pPr>
            <w:r w:rsidDel="00000000" w:rsidR="00000000" w:rsidRPr="00000000">
              <w:rPr>
                <w:b w:val="0"/>
                <w:bCs w:val="0"/>
                <w:color w:val="000000"/>
                <w:sz w:val="16"/>
                <w:szCs w:val="16"/>
                <w:rtl w:val="0"/>
              </w:rPr>
              <w:t xml:space="preserve">PSO does not distinguish 'fewer hazards' from 'fewer reports'; recommend adding a floor/minimum alongside the ceiling</w:t>
            </w:r>
            <w:r w:rsidDel="00000000" w:rsidR="00000000" w:rsidRPr="00000000">
              <w:rPr>
                <w:rtl w:val="0"/>
              </w:rPr>
            </w:r>
          </w:p>
        </w:tc>
      </w:tr>
      <w:tr>
        <w:trPr>
          <w:cantSplit w:val="1"/>
          <w:tblHeader w:val="0"/>
        </w:trPr>
        <w:tc>
          <w:tcPr>
            <w:shd w:fill="f2f2f2" w:val="clear"/>
            <w:tcMar>
              <w:top w:w="60.0" w:type="dxa"/>
              <w:left w:w="90.0" w:type="dxa"/>
              <w:bottom w:w="60.0" w:type="dxa"/>
              <w:right w:w="90.0" w:type="dxa"/>
            </w:tcMar>
          </w:tcPr>
          <w:p w:rsidR="00000000" w:rsidDel="00000000" w:rsidP="00000000" w:rsidRDefault="00000000" w:rsidRPr="00000000" w14:paraId="00000058">
            <w:pPr>
              <w:jc w:val="left"/>
              <w:rPr/>
            </w:pPr>
            <w:r w:rsidDel="00000000" w:rsidR="00000000" w:rsidRPr="00000000">
              <w:rPr>
                <w:b w:val="0"/>
                <w:bCs w:val="0"/>
                <w:color w:val="000000"/>
                <w:sz w:val="16"/>
                <w:szCs w:val="16"/>
                <w:rtl w:val="0"/>
              </w:rPr>
              <w:t xml:space="preserve">Hazard Observations &lt; 10 / yr</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59">
            <w:pPr>
              <w:jc w:val="left"/>
              <w:rPr/>
            </w:pPr>
            <w:r w:rsidDel="00000000" w:rsidR="00000000" w:rsidRPr="00000000">
              <w:rPr>
                <w:b w:val="0"/>
                <w:bCs w:val="0"/>
                <w:color w:val="000000"/>
                <w:sz w:val="16"/>
                <w:szCs w:val="16"/>
                <w:rtl w:val="0"/>
              </w:rPr>
              <w:t xml:space="preserve">Same framing issue as above</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5A">
            <w:pPr>
              <w:jc w:val="left"/>
              <w:rPr/>
            </w:pPr>
            <w:r w:rsidDel="00000000" w:rsidR="00000000" w:rsidRPr="00000000">
              <w:rPr>
                <w:b w:val="0"/>
                <w:bCs w:val="0"/>
                <w:color w:val="000000"/>
                <w:sz w:val="16"/>
                <w:szCs w:val="16"/>
                <w:rtl w:val="0"/>
              </w:rPr>
              <w:t xml:space="preserve">Not effective as currently framed — same ceiling-only limitation</w:t>
            </w:r>
            <w:r w:rsidDel="00000000" w:rsidR="00000000" w:rsidRPr="00000000">
              <w:rPr>
                <w:rtl w:val="0"/>
              </w:rPr>
            </w:r>
          </w:p>
        </w:tc>
        <w:tc>
          <w:tcPr>
            <w:shd w:fill="f2f2f2" w:val="clear"/>
            <w:tcMar>
              <w:top w:w="60.0" w:type="dxa"/>
              <w:left w:w="90.0" w:type="dxa"/>
              <w:bottom w:w="60.0" w:type="dxa"/>
              <w:right w:w="90.0" w:type="dxa"/>
            </w:tcMar>
          </w:tcPr>
          <w:p w:rsidR="00000000" w:rsidDel="00000000" w:rsidP="00000000" w:rsidRDefault="00000000" w:rsidRPr="00000000" w14:paraId="0000005B">
            <w:pPr>
              <w:jc w:val="left"/>
              <w:rPr/>
            </w:pPr>
            <w:r w:rsidDel="00000000" w:rsidR="00000000" w:rsidRPr="00000000">
              <w:rPr>
                <w:b w:val="0"/>
                <w:bCs w:val="0"/>
                <w:color w:val="000000"/>
                <w:sz w:val="16"/>
                <w:szCs w:val="16"/>
                <w:rtl w:val="0"/>
              </w:rPr>
              <w:t xml:space="preserve">Same as above — recommend a minimum expected observation count, not just a maximum</w:t>
            </w:r>
            <w:r w:rsidDel="00000000" w:rsidR="00000000" w:rsidRPr="00000000">
              <w:rPr>
                <w:rtl w:val="0"/>
              </w:rPr>
            </w:r>
          </w:p>
        </w:tc>
      </w:tr>
      <w:tr>
        <w:trPr>
          <w:cantSplit w:val="1"/>
          <w:tblHeader w:val="0"/>
        </w:trPr>
        <w:tc>
          <w:tcPr>
            <w:tcMar>
              <w:top w:w="60.0" w:type="dxa"/>
              <w:left w:w="90.0" w:type="dxa"/>
              <w:bottom w:w="60.0" w:type="dxa"/>
              <w:right w:w="90.0" w:type="dxa"/>
            </w:tcMar>
          </w:tcPr>
          <w:p w:rsidR="00000000" w:rsidDel="00000000" w:rsidP="00000000" w:rsidRDefault="00000000" w:rsidRPr="00000000" w14:paraId="0000005C">
            <w:pPr>
              <w:jc w:val="left"/>
              <w:rPr/>
            </w:pPr>
            <w:r w:rsidDel="00000000" w:rsidR="00000000" w:rsidRPr="00000000">
              <w:rPr>
                <w:b w:val="0"/>
                <w:bCs w:val="0"/>
                <w:color w:val="000000"/>
                <w:sz w:val="16"/>
                <w:szCs w:val="16"/>
                <w:rtl w:val="0"/>
              </w:rPr>
              <w:t xml:space="preserve">Zero Fire/Emergency/Environmental Impact</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5D">
            <w:pPr>
              <w:jc w:val="left"/>
              <w:rPr/>
            </w:pPr>
            <w:r w:rsidDel="00000000" w:rsidR="00000000" w:rsidRPr="00000000">
              <w:rPr>
                <w:b w:val="0"/>
                <w:bCs w:val="0"/>
                <w:color w:val="000000"/>
                <w:sz w:val="16"/>
                <w:szCs w:val="16"/>
                <w:rtl w:val="0"/>
              </w:rPr>
              <w:t xml:space="preserve">Fully applicable</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5E">
            <w:pPr>
              <w:jc w:val="left"/>
              <w:rPr/>
            </w:pPr>
            <w:r w:rsidDel="00000000" w:rsidR="00000000" w:rsidRPr="00000000">
              <w:rPr>
                <w:b w:val="0"/>
                <w:bCs w:val="0"/>
                <w:color w:val="000000"/>
                <w:sz w:val="16"/>
                <w:szCs w:val="16"/>
                <w:rtl w:val="0"/>
              </w:rPr>
              <w:t xml:space="preserve">Effective — sustained for all 3 years</w:t>
            </w:r>
            <w:r w:rsidDel="00000000" w:rsidR="00000000" w:rsidRPr="00000000">
              <w:rPr>
                <w:rtl w:val="0"/>
              </w:rPr>
            </w:r>
          </w:p>
        </w:tc>
        <w:tc>
          <w:tcPr>
            <w:tcMar>
              <w:top w:w="60.0" w:type="dxa"/>
              <w:left w:w="90.0" w:type="dxa"/>
              <w:bottom w:w="60.0" w:type="dxa"/>
              <w:right w:w="90.0" w:type="dxa"/>
            </w:tcMar>
          </w:tcPr>
          <w:p w:rsidR="00000000" w:rsidDel="00000000" w:rsidP="00000000" w:rsidRDefault="00000000" w:rsidRPr="00000000" w14:paraId="0000005F">
            <w:pPr>
              <w:jc w:val="left"/>
              <w:rPr/>
            </w:pPr>
            <w:r w:rsidDel="00000000" w:rsidR="00000000" w:rsidRPr="00000000">
              <w:rPr>
                <w:b w:val="0"/>
                <w:bCs w:val="0"/>
                <w:color w:val="000000"/>
                <w:sz w:val="16"/>
                <w:szCs w:val="16"/>
                <w:rtl w:val="0"/>
              </w:rPr>
              <w:t xml:space="preserve">None</w:t>
            </w:r>
            <w:r w:rsidDel="00000000" w:rsidR="00000000" w:rsidRPr="00000000">
              <w:rPr>
                <w:rtl w:val="0"/>
              </w:rPr>
            </w:r>
          </w:p>
        </w:tc>
      </w:tr>
    </w:tbl>
    <w:p w:rsidR="00000000" w:rsidDel="00000000" w:rsidP="00000000" w:rsidRDefault="00000000" w:rsidRPr="00000000" w14:paraId="00000060">
      <w:pPr>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1"/>
        <w:spacing w:after="140" w:before="300" w:lineRule="auto"/>
        <w:rPr/>
      </w:pPr>
      <w:r w:rsidDel="00000000" w:rsidR="00000000" w:rsidRPr="00000000">
        <w:rPr>
          <w:b w:val="1"/>
          <w:bCs w:val="1"/>
          <w:color w:val="1f3864"/>
          <w:sz w:val="26"/>
          <w:szCs w:val="26"/>
          <w:rtl w:val="0"/>
        </w:rPr>
        <w:t xml:space="preserve">5.0  Findings &amp; Recommendations (Consolidated)</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Introduce a formal annual employee safety perception survey to test whether the 2023–2025 decline in Hazard Observations and Near-Miss/SWA reports reflects fewer hazards, reduced reporting willingness, or reporting fatigue.</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Reframe the Near-Miss/SWA and Hazard Observation PSOs to include a minimum expected reporting volume (a floor), not only a ceiling, so that declining proactive reporting is itself flagged as a shortfall rather than treated as target compliance.</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Systematically capture thematic feedback from toolbox talks and induction sessions (not just attendance), to build a genuine employee-feedback evidence base for future reviews.</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Complete root-cause verification of the 2025 LTI and the 2024 MTC shortfall, and confirm whether either connects to the declining leading-indicator trend.</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Recalculate and correct the 2025 LTIF/TRIF figures, as identified in the companion Review Report (SWDA-HSE-REV-001).</w:t>
      </w:r>
    </w:p>
    <w:p w:rsidR="00000000" w:rsidDel="00000000" w:rsidP="00000000" w:rsidRDefault="00000000" w:rsidRPr="00000000" w14:paraId="00000067">
      <w:pPr>
        <w:pStyle w:val="Heading1"/>
        <w:spacing w:after="140" w:before="300" w:lineRule="auto"/>
        <w:rPr/>
      </w:pPr>
      <w:r w:rsidDel="00000000" w:rsidR="00000000" w:rsidRPr="00000000">
        <w:rPr>
          <w:b w:val="1"/>
          <w:bCs w:val="1"/>
          <w:color w:val="1f3864"/>
          <w:sz w:val="26"/>
          <w:szCs w:val="26"/>
          <w:rtl w:val="0"/>
        </w:rPr>
        <w:t xml:space="preserve">6.0  Managing Director's Endorsement</w:t>
      </w:r>
      <w:r w:rsidDel="00000000" w:rsidR="00000000" w:rsidRPr="00000000">
        <w:rPr>
          <w:rtl w:val="0"/>
        </w:rPr>
      </w:r>
    </w:p>
    <w:p w:rsidR="00000000" w:rsidDel="00000000" w:rsidP="00000000" w:rsidRDefault="00000000" w:rsidRPr="00000000" w14:paraId="00000068">
      <w:pPr>
        <w:spacing w:after="150" w:line="276" w:lineRule="auto"/>
        <w:rPr/>
      </w:pPr>
      <w:r w:rsidDel="00000000" w:rsidR="00000000" w:rsidRPr="00000000">
        <w:rPr>
          <w:sz w:val="20"/>
          <w:szCs w:val="20"/>
          <w:rtl w:val="0"/>
        </w:rPr>
        <w:t xml:space="preserve">This evidence of in-depth HSE-MS analysis, KPI trending, employee feedback review, and PSO applicability/effectiveness/shortfalls assessment for 2023–2025 is endorsed as part of the Company's Management Review record.</w:t>
      </w:r>
      <w:r w:rsidDel="00000000" w:rsidR="00000000" w:rsidRPr="00000000">
        <w:rPr>
          <w:rtl w:val="0"/>
        </w:rPr>
      </w:r>
    </w:p>
    <w:p w:rsidR="00000000" w:rsidDel="00000000" w:rsidP="00000000" w:rsidRDefault="00000000" w:rsidRPr="00000000" w14:paraId="00000069">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6A">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6B">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Gungsuh"/>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bottom w:color="cccccc" w:space="4" w:sz="6" w:val="single"/>
      </w:pBdr>
      <w:jc w:val="center"/>
      <w:rPr/>
    </w:pPr>
    <w:r w:rsidDel="00000000" w:rsidR="00000000" w:rsidRPr="00000000">
      <w:rPr>
        <w:color w:val="777777"/>
        <w:sz w:val="15"/>
        <w:szCs w:val="15"/>
        <w:rtl w:val="0"/>
      </w:rPr>
      <w:t xml:space="preserve">SWDA – Evidence of In-Depth HSE-MS Analysis (2023–2025)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