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color w:val="1f3864"/>
          <w:sz w:val="24"/>
          <w:szCs w:val="24"/>
          <w:rtl w:val="0"/>
        </w:rPr>
        <w:t xml:space="preserve">SOUTH WEST DESIGN AFRICA LIMITED (SWDA)</w:t>
      </w:r>
      <w:r w:rsidDel="00000000" w:rsidR="00000000" w:rsidRPr="00000000">
        <w:rPr>
          <w:rtl w:val="0"/>
        </w:rPr>
      </w:r>
    </w:p>
    <w:p w:rsidR="00000000" w:rsidDel="00000000" w:rsidP="00000000" w:rsidRDefault="00000000" w:rsidRPr="00000000" w14:paraId="00000002">
      <w:pPr>
        <w:pBdr>
          <w:bottom w:color="b8860b" w:space="6" w:sz="12" w:val="single"/>
        </w:pBdr>
        <w:spacing w:after="260" w:lineRule="auto"/>
        <w:jc w:val="center"/>
        <w:rPr/>
      </w:pPr>
      <w:r w:rsidDel="00000000" w:rsidR="00000000" w:rsidRPr="00000000">
        <w:rPr>
          <w:rtl w:val="0"/>
        </w:rPr>
      </w:r>
    </w:p>
    <w:p w:rsidR="00000000" w:rsidDel="00000000" w:rsidP="00000000" w:rsidRDefault="00000000" w:rsidRPr="00000000" w14:paraId="00000003">
      <w:pPr>
        <w:spacing w:after="150" w:before="300" w:lineRule="auto"/>
        <w:jc w:val="center"/>
        <w:rPr/>
      </w:pPr>
      <w:r w:rsidDel="00000000" w:rsidR="00000000" w:rsidRPr="00000000">
        <w:rPr>
          <w:b w:val="1"/>
          <w:bCs w:val="1"/>
          <w:color w:val="1f3864"/>
          <w:sz w:val="34"/>
          <w:szCs w:val="34"/>
          <w:rtl w:val="0"/>
        </w:rPr>
        <w:t xml:space="preserve">HSE KPIs REPORT</w:t>
      </w:r>
      <w:r w:rsidDel="00000000" w:rsidR="00000000" w:rsidRPr="00000000">
        <w:rPr>
          <w:rtl w:val="0"/>
        </w:rPr>
      </w:r>
    </w:p>
    <w:p w:rsidR="00000000" w:rsidDel="00000000" w:rsidP="00000000" w:rsidRDefault="00000000" w:rsidRPr="00000000" w14:paraId="00000004">
      <w:pPr>
        <w:spacing w:after="300" w:lineRule="auto"/>
        <w:jc w:val="center"/>
        <w:rPr/>
      </w:pPr>
      <w:r w:rsidDel="00000000" w:rsidR="00000000" w:rsidRPr="00000000">
        <w:rPr>
          <w:b w:val="1"/>
          <w:bCs w:val="1"/>
          <w:color w:val="000000"/>
          <w:sz w:val="22"/>
          <w:szCs w:val="22"/>
          <w:rtl w:val="0"/>
        </w:rPr>
        <w:t xml:space="preserve">3-Year HSE Performance Statistics: 2023 – 2025</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0"/>
        <w:gridCol w:w="6450"/>
        <w:tblGridChange w:id="0">
          <w:tblGrid>
            <w:gridCol w:w="2900"/>
            <w:gridCol w:w="64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05">
            <w:pPr>
              <w:jc w:val="center"/>
              <w:rPr/>
            </w:pPr>
            <w:r w:rsidDel="00000000" w:rsidR="00000000" w:rsidRPr="00000000">
              <w:rPr>
                <w:b w:val="1"/>
                <w:bCs w:val="1"/>
                <w:color w:val="ffffff"/>
                <w:sz w:val="16"/>
                <w:szCs w:val="16"/>
                <w:rtl w:val="0"/>
              </w:rPr>
              <w:t xml:space="preserve">FIELD</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06">
            <w:pPr>
              <w:jc w:val="center"/>
              <w:rPr/>
            </w:pPr>
            <w:r w:rsidDel="00000000" w:rsidR="00000000" w:rsidRPr="00000000">
              <w:rPr>
                <w:b w:val="1"/>
                <w:bCs w:val="1"/>
                <w:color w:val="ffffff"/>
                <w:sz w:val="16"/>
                <w:szCs w:val="16"/>
                <w:rtl w:val="0"/>
              </w:rPr>
              <w:t xml:space="preserve">DETAIL</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7">
            <w:pPr>
              <w:jc w:val="left"/>
              <w:rPr/>
            </w:pPr>
            <w:r w:rsidDel="00000000" w:rsidR="00000000" w:rsidRPr="00000000">
              <w:rPr>
                <w:b w:val="0"/>
                <w:bCs w:val="0"/>
                <w:color w:val="000000"/>
                <w:sz w:val="17"/>
                <w:szCs w:val="17"/>
                <w:rtl w:val="0"/>
              </w:rPr>
              <w:t xml:space="preserve">Document Title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8">
            <w:pPr>
              <w:jc w:val="left"/>
              <w:rPr/>
            </w:pPr>
            <w:r w:rsidDel="00000000" w:rsidR="00000000" w:rsidRPr="00000000">
              <w:rPr>
                <w:b w:val="0"/>
                <w:bCs w:val="0"/>
                <w:color w:val="000000"/>
                <w:sz w:val="17"/>
                <w:szCs w:val="17"/>
                <w:rtl w:val="0"/>
              </w:rPr>
              <w:t xml:space="preserve">SWDA HSE KPIs Report — 3-Year Record (2023–2025)</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9">
            <w:pPr>
              <w:jc w:val="left"/>
              <w:rPr/>
            </w:pPr>
            <w:r w:rsidDel="00000000" w:rsidR="00000000" w:rsidRPr="00000000">
              <w:rPr>
                <w:b w:val="0"/>
                <w:bCs w:val="0"/>
                <w:color w:val="000000"/>
                <w:sz w:val="17"/>
                <w:szCs w:val="17"/>
                <w:rtl w:val="0"/>
              </w:rPr>
              <w:t xml:space="preserve">Document Control No.</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A">
            <w:pPr>
              <w:jc w:val="left"/>
              <w:rPr/>
            </w:pPr>
            <w:r w:rsidDel="00000000" w:rsidR="00000000" w:rsidRPr="00000000">
              <w:rPr>
                <w:b w:val="0"/>
                <w:bCs w:val="0"/>
                <w:color w:val="000000"/>
                <w:sz w:val="17"/>
                <w:szCs w:val="17"/>
                <w:rtl w:val="0"/>
              </w:rPr>
              <w:t xml:space="preserve">SWDA-HSE-KPIRPT-001</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B">
            <w:pPr>
              <w:jc w:val="left"/>
              <w:rPr/>
            </w:pPr>
            <w:r w:rsidDel="00000000" w:rsidR="00000000" w:rsidRPr="00000000">
              <w:rPr>
                <w:b w:val="0"/>
                <w:bCs w:val="0"/>
                <w:color w:val="000000"/>
                <w:sz w:val="17"/>
                <w:szCs w:val="17"/>
                <w:rtl w:val="0"/>
              </w:rPr>
              <w:t xml:space="preserve">Source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C">
            <w:pPr>
              <w:jc w:val="left"/>
              <w:rPr/>
            </w:pPr>
            <w:r w:rsidDel="00000000" w:rsidR="00000000" w:rsidRPr="00000000">
              <w:rPr>
                <w:b w:val="0"/>
                <w:bCs w:val="0"/>
                <w:color w:val="000000"/>
                <w:sz w:val="17"/>
                <w:szCs w:val="17"/>
                <w:rtl w:val="0"/>
              </w:rPr>
              <w:t xml:space="preserve">HSE Performance Statistics &amp; KPIs, as presented in the Renaissance ATC/NME Tank Cleaning Contract HSE Plan (Attachment 4)</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D">
            <w:pPr>
              <w:jc w:val="left"/>
              <w:rPr/>
            </w:pPr>
            <w:r w:rsidDel="00000000" w:rsidR="00000000" w:rsidRPr="00000000">
              <w:rPr>
                <w:b w:val="0"/>
                <w:bCs w:val="0"/>
                <w:color w:val="000000"/>
                <w:sz w:val="17"/>
                <w:szCs w:val="17"/>
                <w:rtl w:val="0"/>
              </w:rPr>
              <w:t xml:space="preserve">Related HSE-MS Reference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E">
            <w:pPr>
              <w:jc w:val="left"/>
              <w:rPr/>
            </w:pPr>
            <w:r w:rsidDel="00000000" w:rsidR="00000000" w:rsidRPr="00000000">
              <w:rPr>
                <w:b w:val="0"/>
                <w:bCs w:val="0"/>
                <w:color w:val="000000"/>
                <w:sz w:val="17"/>
                <w:szCs w:val="17"/>
                <w:rtl w:val="0"/>
              </w:rPr>
              <w:t xml:space="preserve">Corporate HSE Manual Section 15.0; Procedure for Including Leading &amp; Lagging KPIs (SWDA-HSE-KPIPROC-001)</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F">
            <w:pPr>
              <w:jc w:val="left"/>
              <w:rPr/>
            </w:pPr>
            <w:r w:rsidDel="00000000" w:rsidR="00000000" w:rsidRPr="00000000">
              <w:rPr>
                <w:b w:val="0"/>
                <w:bCs w:val="0"/>
                <w:color w:val="000000"/>
                <w:sz w:val="17"/>
                <w:szCs w:val="17"/>
                <w:rtl w:val="0"/>
              </w:rPr>
              <w:t xml:space="preserve">Custodian</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0">
            <w:pPr>
              <w:jc w:val="left"/>
              <w:rPr/>
            </w:pPr>
            <w:r w:rsidDel="00000000" w:rsidR="00000000" w:rsidRPr="00000000">
              <w:rPr>
                <w:b w:val="0"/>
                <w:bCs w:val="0"/>
                <w:color w:val="000000"/>
                <w:sz w:val="17"/>
                <w:szCs w:val="17"/>
                <w:rtl w:val="0"/>
              </w:rPr>
              <w:t xml:space="preserve">SWDA Regulatory Compliance Manager (Q-HSE Coordinator)</w:t>
            </w:r>
            <w:r w:rsidDel="00000000" w:rsidR="00000000" w:rsidRPr="00000000">
              <w:rPr>
                <w:rtl w:val="0"/>
              </w:rPr>
            </w:r>
          </w:p>
        </w:tc>
      </w:tr>
    </w:tbl>
    <w:p w:rsidR="00000000" w:rsidDel="00000000" w:rsidP="00000000" w:rsidRDefault="00000000" w:rsidRPr="00000000" w14:paraId="00000011">
      <w:pPr>
        <w:spacing w:after="90" w:before="260" w:lineRule="auto"/>
        <w:rPr/>
      </w:pPr>
      <w:r w:rsidDel="00000000" w:rsidR="00000000" w:rsidRPr="00000000">
        <w:rPr>
          <w:b w:val="1"/>
          <w:bCs w:val="1"/>
          <w:sz w:val="19"/>
          <w:szCs w:val="19"/>
          <w:rtl w:val="0"/>
        </w:rPr>
        <w:t xml:space="preserve">PREPARED BY: </w:t>
      </w:r>
      <w:r w:rsidDel="00000000" w:rsidR="00000000" w:rsidRPr="00000000">
        <w:rPr>
          <w:sz w:val="19"/>
          <w:szCs w:val="19"/>
          <w:rtl w:val="0"/>
        </w:rPr>
        <w:t xml:space="preserve">Sonia Somuvie — Regulatory Compliance Manager, SWDA</w:t>
      </w:r>
      <w:r w:rsidDel="00000000" w:rsidR="00000000" w:rsidRPr="00000000">
        <w:rPr>
          <w:rtl w:val="0"/>
        </w:rPr>
      </w:r>
    </w:p>
    <w:p w:rsidR="00000000" w:rsidDel="00000000" w:rsidP="00000000" w:rsidRDefault="00000000" w:rsidRPr="00000000" w14:paraId="00000012">
      <w:pPr>
        <w:spacing w:after="90" w:lineRule="auto"/>
        <w:rPr/>
      </w:pPr>
      <w:r w:rsidDel="00000000" w:rsidR="00000000" w:rsidRPr="00000000">
        <w:rPr>
          <w:b w:val="1"/>
          <w:bCs w:val="1"/>
          <w:sz w:val="19"/>
          <w:szCs w:val="19"/>
          <w:rtl w:val="0"/>
        </w:rPr>
        <w:t xml:space="preserve">REVIEWED BY: </w:t>
      </w:r>
      <w:r w:rsidDel="00000000" w:rsidR="00000000" w:rsidRPr="00000000">
        <w:rPr>
          <w:sz w:val="19"/>
          <w:szCs w:val="19"/>
          <w:rtl w:val="0"/>
        </w:rPr>
        <w:t xml:space="preserve">Engr. Ned Jessup, P.E. — COO / ED &amp; Project Director, SWDA</w:t>
      </w:r>
      <w:r w:rsidDel="00000000" w:rsidR="00000000" w:rsidRPr="00000000">
        <w:rPr>
          <w:rtl w:val="0"/>
        </w:rPr>
      </w:r>
    </w:p>
    <w:p w:rsidR="00000000" w:rsidDel="00000000" w:rsidP="00000000" w:rsidRDefault="00000000" w:rsidRPr="00000000" w14:paraId="00000013">
      <w:pPr>
        <w:spacing w:after="200" w:lineRule="auto"/>
        <w:rPr/>
      </w:pPr>
      <w:r w:rsidDel="00000000" w:rsidR="00000000" w:rsidRPr="00000000">
        <w:rPr>
          <w:b w:val="1"/>
          <w:bCs w:val="1"/>
          <w:sz w:val="19"/>
          <w:szCs w:val="19"/>
          <w:rtl w:val="0"/>
        </w:rPr>
        <w:t xml:space="preserve">ENDORSED BY: </w:t>
      </w:r>
      <w:r w:rsidDel="00000000" w:rsidR="00000000" w:rsidRPr="00000000">
        <w:rPr>
          <w:sz w:val="19"/>
          <w:szCs w:val="19"/>
          <w:rtl w:val="0"/>
        </w:rPr>
        <w:t xml:space="preserve">Chief Executive Officer / Managing Director, South West Design Africa Limited</w:t>
      </w:r>
      <w:r w:rsidDel="00000000" w:rsidR="00000000" w:rsidRPr="00000000">
        <w:rPr>
          <w:rtl w:val="0"/>
        </w:rPr>
      </w:r>
    </w:p>
    <w:p w:rsidR="00000000" w:rsidDel="00000000" w:rsidP="00000000" w:rsidRDefault="00000000" w:rsidRPr="00000000" w14:paraId="00000014">
      <w:pPr>
        <w:pStyle w:val="Heading1"/>
        <w:spacing w:after="140" w:before="300" w:lineRule="auto"/>
        <w:rPr/>
      </w:pPr>
      <w:r w:rsidDel="00000000" w:rsidR="00000000" w:rsidRPr="00000000">
        <w:rPr>
          <w:b w:val="1"/>
          <w:bCs w:val="1"/>
          <w:color w:val="1f3864"/>
          <w:sz w:val="26"/>
          <w:szCs w:val="26"/>
          <w:rtl w:val="0"/>
        </w:rPr>
        <w:t xml:space="preserve">Executive Summary</w:t>
      </w:r>
      <w:r w:rsidDel="00000000" w:rsidR="00000000" w:rsidRPr="00000000">
        <w:rPr>
          <w:rtl w:val="0"/>
        </w:rPr>
      </w:r>
    </w:p>
    <w:p w:rsidR="00000000" w:rsidDel="00000000" w:rsidP="00000000" w:rsidRDefault="00000000" w:rsidRPr="00000000" w14:paraId="00000015">
      <w:pPr>
        <w:spacing w:after="150" w:line="276" w:lineRule="auto"/>
        <w:rPr/>
      </w:pPr>
      <w:r w:rsidDel="00000000" w:rsidR="00000000" w:rsidRPr="00000000">
        <w:rPr>
          <w:sz w:val="20"/>
          <w:szCs w:val="20"/>
          <w:rtl w:val="0"/>
        </w:rPr>
        <w:t xml:space="preserve">This report presents SWDA's HSE Key Performance Indicators (KPIs) for the three most recently completed calendar years (2023–2025), reproduced directly from the HSE Performance Statistics presented in the Company's HSE Plan. Over the period, SWDA grew Total Man-Hours Worked from 13,104 to 16,475 (a 25.7% increase) while maintaining zero fatalities and zero environmental impacts throughout. One Lost Time Injury was recorded, in 2025 — the only Lagging KPI target missed across the 3-year period — alongside a steady decline in proactive Leading KPI reporting (Hazard Observations and Near-Miss/SWA reports) over the same three years.</w:t>
      </w:r>
      <w:r w:rsidDel="00000000" w:rsidR="00000000" w:rsidRPr="00000000">
        <w:rPr>
          <w:rtl w:val="0"/>
        </w:rPr>
      </w:r>
    </w:p>
    <w:p w:rsidR="00000000" w:rsidDel="00000000" w:rsidP="00000000" w:rsidRDefault="00000000" w:rsidRPr="00000000" w14:paraId="00000016">
      <w:pPr>
        <w:pStyle w:val="Heading1"/>
        <w:spacing w:after="140" w:before="300" w:lineRule="auto"/>
        <w:rPr/>
      </w:pPr>
      <w:r w:rsidDel="00000000" w:rsidR="00000000" w:rsidRPr="00000000">
        <w:rPr>
          <w:b w:val="1"/>
          <w:bCs w:val="1"/>
          <w:color w:val="1f3864"/>
          <w:sz w:val="26"/>
          <w:szCs w:val="26"/>
          <w:rtl w:val="0"/>
        </w:rPr>
        <w:t xml:space="preserve">1.0  Purpose &amp; Scope</w:t>
      </w:r>
      <w:r w:rsidDel="00000000" w:rsidR="00000000" w:rsidRPr="00000000">
        <w:rPr>
          <w:rtl w:val="0"/>
        </w:rPr>
      </w:r>
    </w:p>
    <w:p w:rsidR="00000000" w:rsidDel="00000000" w:rsidP="00000000" w:rsidRDefault="00000000" w:rsidRPr="00000000" w14:paraId="00000017">
      <w:pPr>
        <w:spacing w:after="150" w:line="276" w:lineRule="auto"/>
        <w:rPr/>
      </w:pPr>
      <w:r w:rsidDel="00000000" w:rsidR="00000000" w:rsidRPr="00000000">
        <w:rPr>
          <w:sz w:val="20"/>
          <w:szCs w:val="20"/>
          <w:rtl w:val="0"/>
        </w:rPr>
        <w:t xml:space="preserve">This report consolidates SWDA's HSE KPI data for 2023–2025, as presented in the Company's HSE Plan (Attachment 4), for Management Review, Client reporting, and pre-qualification purposes, consistent with the Procedure for Including Leading &amp; Lagging KPIs into the HSE-MS Compliance Procedure (SWDA-HSE-KPIPROC-001).</w:t>
      </w:r>
      <w:r w:rsidDel="00000000" w:rsidR="00000000" w:rsidRPr="00000000">
        <w:rPr>
          <w:rtl w:val="0"/>
        </w:rPr>
      </w:r>
    </w:p>
    <w:p w:rsidR="00000000" w:rsidDel="00000000" w:rsidP="00000000" w:rsidRDefault="00000000" w:rsidRPr="00000000" w14:paraId="00000018">
      <w:pPr>
        <w:rPr/>
      </w:pPr>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spacing w:after="140" w:before="300" w:lineRule="auto"/>
        <w:rPr/>
      </w:pPr>
      <w:r w:rsidDel="00000000" w:rsidR="00000000" w:rsidRPr="00000000">
        <w:rPr>
          <w:b w:val="1"/>
          <w:bCs w:val="1"/>
          <w:color w:val="1f3864"/>
          <w:sz w:val="26"/>
          <w:szCs w:val="26"/>
          <w:rtl w:val="0"/>
        </w:rPr>
        <w:t xml:space="preserve">2.0  HSE KPI Data — 3-Year Record (2023–2025)</w:t>
      </w: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50"/>
        <w:gridCol w:w="1350"/>
        <w:gridCol w:w="1350"/>
        <w:gridCol w:w="1350"/>
        <w:gridCol w:w="1750"/>
        <w:tblGridChange w:id="0">
          <w:tblGrid>
            <w:gridCol w:w="3550"/>
            <w:gridCol w:w="1350"/>
            <w:gridCol w:w="1350"/>
            <w:gridCol w:w="1350"/>
            <w:gridCol w:w="17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1A">
            <w:pPr>
              <w:jc w:val="center"/>
              <w:rPr/>
            </w:pPr>
            <w:r w:rsidDel="00000000" w:rsidR="00000000" w:rsidRPr="00000000">
              <w:rPr>
                <w:b w:val="1"/>
                <w:bCs w:val="1"/>
                <w:color w:val="ffffff"/>
                <w:sz w:val="16"/>
                <w:szCs w:val="16"/>
                <w:rtl w:val="0"/>
              </w:rPr>
              <w:t xml:space="preserve">HSE PERFORMANCE STATISTICS PARAMETER</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B">
            <w:pPr>
              <w:jc w:val="center"/>
              <w:rPr/>
            </w:pPr>
            <w:r w:rsidDel="00000000" w:rsidR="00000000" w:rsidRPr="00000000">
              <w:rPr>
                <w:b w:val="1"/>
                <w:bCs w:val="1"/>
                <w:color w:val="ffffff"/>
                <w:sz w:val="16"/>
                <w:szCs w:val="16"/>
                <w:rtl w:val="0"/>
              </w:rPr>
              <w:t xml:space="preserve">YR 2023</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C">
            <w:pPr>
              <w:jc w:val="center"/>
              <w:rPr/>
            </w:pPr>
            <w:r w:rsidDel="00000000" w:rsidR="00000000" w:rsidRPr="00000000">
              <w:rPr>
                <w:b w:val="1"/>
                <w:bCs w:val="1"/>
                <w:color w:val="ffffff"/>
                <w:sz w:val="16"/>
                <w:szCs w:val="16"/>
                <w:rtl w:val="0"/>
              </w:rPr>
              <w:t xml:space="preserve">YR 2024</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D">
            <w:pPr>
              <w:jc w:val="center"/>
              <w:rPr/>
            </w:pPr>
            <w:r w:rsidDel="00000000" w:rsidR="00000000" w:rsidRPr="00000000">
              <w:rPr>
                <w:b w:val="1"/>
                <w:bCs w:val="1"/>
                <w:color w:val="ffffff"/>
                <w:sz w:val="16"/>
                <w:szCs w:val="16"/>
                <w:rtl w:val="0"/>
              </w:rPr>
              <w:t xml:space="preserve">YR 2025</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E">
            <w:pPr>
              <w:jc w:val="center"/>
              <w:rPr/>
            </w:pPr>
            <w:r w:rsidDel="00000000" w:rsidR="00000000" w:rsidRPr="00000000">
              <w:rPr>
                <w:b w:val="1"/>
                <w:bCs w:val="1"/>
                <w:color w:val="ffffff"/>
                <w:sz w:val="16"/>
                <w:szCs w:val="16"/>
                <w:rtl w:val="0"/>
              </w:rPr>
              <w:t xml:space="preserve">KPI TARGET / YR</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1F">
            <w:pPr>
              <w:jc w:val="left"/>
              <w:rPr/>
            </w:pPr>
            <w:r w:rsidDel="00000000" w:rsidR="00000000" w:rsidRPr="00000000">
              <w:rPr>
                <w:b w:val="0"/>
                <w:bCs w:val="0"/>
                <w:color w:val="000000"/>
                <w:sz w:val="17"/>
                <w:szCs w:val="17"/>
                <w:rtl w:val="0"/>
              </w:rPr>
              <w:t xml:space="preserve">Total Man-Hours Worked (MHW)</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0">
            <w:pPr>
              <w:jc w:val="left"/>
              <w:rPr/>
            </w:pPr>
            <w:r w:rsidDel="00000000" w:rsidR="00000000" w:rsidRPr="00000000">
              <w:rPr>
                <w:b w:val="0"/>
                <w:bCs w:val="0"/>
                <w:color w:val="000000"/>
                <w:sz w:val="17"/>
                <w:szCs w:val="17"/>
                <w:rtl w:val="0"/>
              </w:rPr>
              <w:t xml:space="preserve">13,104</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1">
            <w:pPr>
              <w:jc w:val="left"/>
              <w:rPr/>
            </w:pPr>
            <w:r w:rsidDel="00000000" w:rsidR="00000000" w:rsidRPr="00000000">
              <w:rPr>
                <w:b w:val="0"/>
                <w:bCs w:val="0"/>
                <w:color w:val="000000"/>
                <w:sz w:val="17"/>
                <w:szCs w:val="17"/>
                <w:rtl w:val="0"/>
              </w:rPr>
              <w:t xml:space="preserve">15,216</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2">
            <w:pPr>
              <w:jc w:val="left"/>
              <w:rPr/>
            </w:pPr>
            <w:r w:rsidDel="00000000" w:rsidR="00000000" w:rsidRPr="00000000">
              <w:rPr>
                <w:b w:val="0"/>
                <w:bCs w:val="0"/>
                <w:color w:val="000000"/>
                <w:sz w:val="17"/>
                <w:szCs w:val="17"/>
                <w:rtl w:val="0"/>
              </w:rPr>
              <w:t xml:space="preserve">16,475</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3">
            <w:pPr>
              <w:jc w:val="left"/>
              <w:rPr/>
            </w:pPr>
            <w:r w:rsidDel="00000000" w:rsidR="00000000" w:rsidRPr="00000000">
              <w:rPr>
                <w:b w:val="0"/>
                <w:bCs w:val="0"/>
                <w:color w:val="000000"/>
                <w:sz w:val="17"/>
                <w:szCs w:val="17"/>
                <w:rtl w:val="0"/>
              </w:rPr>
              <w:t xml:space="preserve">N/A</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24">
            <w:pPr>
              <w:jc w:val="left"/>
              <w:rPr/>
            </w:pPr>
            <w:r w:rsidDel="00000000" w:rsidR="00000000" w:rsidRPr="00000000">
              <w:rPr>
                <w:b w:val="0"/>
                <w:bCs w:val="0"/>
                <w:color w:val="000000"/>
                <w:sz w:val="17"/>
                <w:szCs w:val="17"/>
                <w:rtl w:val="0"/>
              </w:rPr>
              <w:t xml:space="preserve">Number of Fatal Injuries (FI)</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5">
            <w:pPr>
              <w:jc w:val="left"/>
              <w:rPr/>
            </w:pPr>
            <w:r w:rsidDel="00000000" w:rsidR="00000000" w:rsidRPr="00000000">
              <w:rPr>
                <w:b w:val="0"/>
                <w:bCs w:val="0"/>
                <w:color w:val="000000"/>
                <w:sz w:val="17"/>
                <w:szCs w:val="17"/>
                <w:rtl w:val="0"/>
              </w:rPr>
              <w:t xml:space="preserve">0</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6">
            <w:pPr>
              <w:jc w:val="left"/>
              <w:rPr/>
            </w:pPr>
            <w:r w:rsidDel="00000000" w:rsidR="00000000" w:rsidRPr="00000000">
              <w:rPr>
                <w:b w:val="0"/>
                <w:bCs w:val="0"/>
                <w:color w:val="000000"/>
                <w:sz w:val="17"/>
                <w:szCs w:val="17"/>
                <w:rtl w:val="0"/>
              </w:rPr>
              <w:t xml:space="preserve">0</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7">
            <w:pPr>
              <w:jc w:val="left"/>
              <w:rPr/>
            </w:pPr>
            <w:r w:rsidDel="00000000" w:rsidR="00000000" w:rsidRPr="00000000">
              <w:rPr>
                <w:b w:val="0"/>
                <w:bCs w:val="0"/>
                <w:color w:val="000000"/>
                <w:sz w:val="17"/>
                <w:szCs w:val="17"/>
                <w:rtl w:val="0"/>
              </w:rPr>
              <w:t xml:space="preserve">0</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8">
            <w:pPr>
              <w:jc w:val="left"/>
              <w:rPr/>
            </w:pPr>
            <w:r w:rsidDel="00000000" w:rsidR="00000000" w:rsidRPr="00000000">
              <w:rPr>
                <w:b w:val="0"/>
                <w:bCs w:val="0"/>
                <w:color w:val="000000"/>
                <w:sz w:val="17"/>
                <w:szCs w:val="17"/>
                <w:rtl w:val="0"/>
              </w:rPr>
              <w:t xml:space="preserve">0</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29">
            <w:pPr>
              <w:jc w:val="left"/>
              <w:rPr/>
            </w:pPr>
            <w:r w:rsidDel="00000000" w:rsidR="00000000" w:rsidRPr="00000000">
              <w:rPr>
                <w:b w:val="0"/>
                <w:bCs w:val="0"/>
                <w:color w:val="000000"/>
                <w:sz w:val="17"/>
                <w:szCs w:val="17"/>
                <w:rtl w:val="0"/>
              </w:rPr>
              <w:t xml:space="preserve">Total Lost Time Injury Cases (LTI)</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A">
            <w:pPr>
              <w:jc w:val="left"/>
              <w:rPr/>
            </w:pPr>
            <w:r w:rsidDel="00000000" w:rsidR="00000000" w:rsidRPr="00000000">
              <w:rPr>
                <w:b w:val="0"/>
                <w:bCs w:val="0"/>
                <w:color w:val="000000"/>
                <w:sz w:val="17"/>
                <w:szCs w:val="17"/>
                <w:rtl w:val="0"/>
              </w:rPr>
              <w:t xml:space="preserve">0</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B">
            <w:pPr>
              <w:jc w:val="left"/>
              <w:rPr/>
            </w:pPr>
            <w:r w:rsidDel="00000000" w:rsidR="00000000" w:rsidRPr="00000000">
              <w:rPr>
                <w:b w:val="0"/>
                <w:bCs w:val="0"/>
                <w:color w:val="000000"/>
                <w:sz w:val="17"/>
                <w:szCs w:val="17"/>
                <w:rtl w:val="0"/>
              </w:rPr>
              <w:t xml:space="preserve">0</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C">
            <w:pPr>
              <w:jc w:val="left"/>
              <w:rPr/>
            </w:pPr>
            <w:r w:rsidDel="00000000" w:rsidR="00000000" w:rsidRPr="00000000">
              <w:rPr>
                <w:b w:val="0"/>
                <w:bCs w:val="0"/>
                <w:color w:val="000000"/>
                <w:sz w:val="17"/>
                <w:szCs w:val="17"/>
                <w:rtl w:val="0"/>
              </w:rPr>
              <w:t xml:space="preserve">1</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D">
            <w:pPr>
              <w:jc w:val="left"/>
              <w:rPr/>
            </w:pPr>
            <w:r w:rsidDel="00000000" w:rsidR="00000000" w:rsidRPr="00000000">
              <w:rPr>
                <w:b w:val="0"/>
                <w:bCs w:val="0"/>
                <w:color w:val="000000"/>
                <w:sz w:val="17"/>
                <w:szCs w:val="17"/>
                <w:rtl w:val="0"/>
              </w:rPr>
              <w:t xml:space="preserve">0</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2E">
            <w:pPr>
              <w:jc w:val="left"/>
              <w:rPr/>
            </w:pPr>
            <w:r w:rsidDel="00000000" w:rsidR="00000000" w:rsidRPr="00000000">
              <w:rPr>
                <w:b w:val="0"/>
                <w:bCs w:val="0"/>
                <w:color w:val="000000"/>
                <w:sz w:val="17"/>
                <w:szCs w:val="17"/>
                <w:rtl w:val="0"/>
              </w:rPr>
              <w:t xml:space="preserve">Total Medical Treatment Cases (MTC)</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F">
            <w:pPr>
              <w:jc w:val="left"/>
              <w:rPr/>
            </w:pPr>
            <w:r w:rsidDel="00000000" w:rsidR="00000000" w:rsidRPr="00000000">
              <w:rPr>
                <w:b w:val="0"/>
                <w:bCs w:val="0"/>
                <w:color w:val="000000"/>
                <w:sz w:val="17"/>
                <w:szCs w:val="17"/>
                <w:rtl w:val="0"/>
              </w:rPr>
              <w:t xml:space="preserve">0</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0">
            <w:pPr>
              <w:jc w:val="left"/>
              <w:rPr/>
            </w:pPr>
            <w:r w:rsidDel="00000000" w:rsidR="00000000" w:rsidRPr="00000000">
              <w:rPr>
                <w:b w:val="0"/>
                <w:bCs w:val="0"/>
                <w:color w:val="000000"/>
                <w:sz w:val="17"/>
                <w:szCs w:val="17"/>
                <w:rtl w:val="0"/>
              </w:rPr>
              <w:t xml:space="preserve">2</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1">
            <w:pPr>
              <w:jc w:val="left"/>
              <w:rPr/>
            </w:pPr>
            <w:r w:rsidDel="00000000" w:rsidR="00000000" w:rsidRPr="00000000">
              <w:rPr>
                <w:b w:val="0"/>
                <w:bCs w:val="0"/>
                <w:color w:val="000000"/>
                <w:sz w:val="17"/>
                <w:szCs w:val="17"/>
                <w:rtl w:val="0"/>
              </w:rPr>
              <w:t xml:space="preserve">1</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2">
            <w:pPr>
              <w:jc w:val="left"/>
              <w:rPr/>
            </w:pPr>
            <w:r w:rsidDel="00000000" w:rsidR="00000000" w:rsidRPr="00000000">
              <w:rPr>
                <w:b w:val="0"/>
                <w:bCs w:val="0"/>
                <w:color w:val="000000"/>
                <w:sz w:val="17"/>
                <w:szCs w:val="17"/>
                <w:rtl w:val="0"/>
              </w:rPr>
              <w:t xml:space="preserve">1</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33">
            <w:pPr>
              <w:jc w:val="left"/>
              <w:rPr/>
            </w:pPr>
            <w:r w:rsidDel="00000000" w:rsidR="00000000" w:rsidRPr="00000000">
              <w:rPr>
                <w:b w:val="0"/>
                <w:bCs w:val="0"/>
                <w:color w:val="000000"/>
                <w:sz w:val="17"/>
                <w:szCs w:val="17"/>
                <w:rtl w:val="0"/>
              </w:rPr>
              <w:t xml:space="preserve">Total Restricted Work-Day Cases (RWDC)</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4">
            <w:pPr>
              <w:jc w:val="left"/>
              <w:rPr/>
            </w:pPr>
            <w:r w:rsidDel="00000000" w:rsidR="00000000" w:rsidRPr="00000000">
              <w:rPr>
                <w:b w:val="0"/>
                <w:bCs w:val="0"/>
                <w:color w:val="000000"/>
                <w:sz w:val="17"/>
                <w:szCs w:val="17"/>
                <w:rtl w:val="0"/>
              </w:rPr>
              <w:t xml:space="preserve">0</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5">
            <w:pPr>
              <w:jc w:val="left"/>
              <w:rPr/>
            </w:pPr>
            <w:r w:rsidDel="00000000" w:rsidR="00000000" w:rsidRPr="00000000">
              <w:rPr>
                <w:b w:val="0"/>
                <w:bCs w:val="0"/>
                <w:color w:val="000000"/>
                <w:sz w:val="17"/>
                <w:szCs w:val="17"/>
                <w:rtl w:val="0"/>
              </w:rPr>
              <w:t xml:space="preserve">0</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6">
            <w:pPr>
              <w:jc w:val="left"/>
              <w:rPr/>
            </w:pPr>
            <w:r w:rsidDel="00000000" w:rsidR="00000000" w:rsidRPr="00000000">
              <w:rPr>
                <w:b w:val="0"/>
                <w:bCs w:val="0"/>
                <w:color w:val="000000"/>
                <w:sz w:val="17"/>
                <w:szCs w:val="17"/>
                <w:rtl w:val="0"/>
              </w:rPr>
              <w:t xml:space="preserve">0</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7">
            <w:pPr>
              <w:jc w:val="left"/>
              <w:rPr/>
            </w:pPr>
            <w:r w:rsidDel="00000000" w:rsidR="00000000" w:rsidRPr="00000000">
              <w:rPr>
                <w:b w:val="0"/>
                <w:bCs w:val="0"/>
                <w:color w:val="000000"/>
                <w:sz w:val="17"/>
                <w:szCs w:val="17"/>
                <w:rtl w:val="0"/>
              </w:rPr>
              <w:t xml:space="preserve">0</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38">
            <w:pPr>
              <w:jc w:val="left"/>
              <w:rPr/>
            </w:pPr>
            <w:r w:rsidDel="00000000" w:rsidR="00000000" w:rsidRPr="00000000">
              <w:rPr>
                <w:b w:val="0"/>
                <w:bCs w:val="0"/>
                <w:color w:val="000000"/>
                <w:sz w:val="17"/>
                <w:szCs w:val="17"/>
                <w:rtl w:val="0"/>
              </w:rPr>
              <w:t xml:space="preserve">Lost Time Injury Frequency (LTIF)</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9">
            <w:pPr>
              <w:jc w:val="left"/>
              <w:rPr/>
            </w:pPr>
            <w:r w:rsidDel="00000000" w:rsidR="00000000" w:rsidRPr="00000000">
              <w:rPr>
                <w:b w:val="0"/>
                <w:bCs w:val="0"/>
                <w:color w:val="000000"/>
                <w:sz w:val="17"/>
                <w:szCs w:val="17"/>
                <w:rtl w:val="0"/>
              </w:rPr>
              <w:t xml:space="preserve">0.00</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A">
            <w:pPr>
              <w:jc w:val="left"/>
              <w:rPr/>
            </w:pPr>
            <w:r w:rsidDel="00000000" w:rsidR="00000000" w:rsidRPr="00000000">
              <w:rPr>
                <w:b w:val="0"/>
                <w:bCs w:val="0"/>
                <w:color w:val="000000"/>
                <w:sz w:val="17"/>
                <w:szCs w:val="17"/>
                <w:rtl w:val="0"/>
              </w:rPr>
              <w:t xml:space="preserve">0.00</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B">
            <w:pPr>
              <w:jc w:val="left"/>
              <w:rPr/>
            </w:pPr>
            <w:r w:rsidDel="00000000" w:rsidR="00000000" w:rsidRPr="00000000">
              <w:rPr>
                <w:b w:val="0"/>
                <w:bCs w:val="0"/>
                <w:color w:val="000000"/>
                <w:sz w:val="17"/>
                <w:szCs w:val="17"/>
                <w:rtl w:val="0"/>
              </w:rPr>
              <w:t xml:space="preserve">0.00</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C">
            <w:pPr>
              <w:jc w:val="left"/>
              <w:rPr/>
            </w:pPr>
            <w:r w:rsidDel="00000000" w:rsidR="00000000" w:rsidRPr="00000000">
              <w:rPr>
                <w:b w:val="0"/>
                <w:bCs w:val="0"/>
                <w:color w:val="000000"/>
                <w:sz w:val="17"/>
                <w:szCs w:val="17"/>
                <w:rtl w:val="0"/>
              </w:rPr>
              <w:t xml:space="preserve">0.00</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3D">
            <w:pPr>
              <w:jc w:val="left"/>
              <w:rPr/>
            </w:pPr>
            <w:r w:rsidDel="00000000" w:rsidR="00000000" w:rsidRPr="00000000">
              <w:rPr>
                <w:b w:val="0"/>
                <w:bCs w:val="0"/>
                <w:color w:val="000000"/>
                <w:sz w:val="17"/>
                <w:szCs w:val="17"/>
                <w:rtl w:val="0"/>
              </w:rPr>
              <w:t xml:space="preserve">Total Recordable Injury Frequency (TRIF)</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E">
            <w:pPr>
              <w:jc w:val="left"/>
              <w:rPr/>
            </w:pPr>
            <w:r w:rsidDel="00000000" w:rsidR="00000000" w:rsidRPr="00000000">
              <w:rPr>
                <w:b w:val="0"/>
                <w:bCs w:val="0"/>
                <w:color w:val="000000"/>
                <w:sz w:val="17"/>
                <w:szCs w:val="17"/>
                <w:rtl w:val="0"/>
              </w:rPr>
              <w:t xml:space="preserve">0.00</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F">
            <w:pPr>
              <w:jc w:val="left"/>
              <w:rPr/>
            </w:pPr>
            <w:r w:rsidDel="00000000" w:rsidR="00000000" w:rsidRPr="00000000">
              <w:rPr>
                <w:b w:val="0"/>
                <w:bCs w:val="0"/>
                <w:color w:val="000000"/>
                <w:sz w:val="17"/>
                <w:szCs w:val="17"/>
                <w:rtl w:val="0"/>
              </w:rPr>
              <w:t xml:space="preserve">0.00</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0">
            <w:pPr>
              <w:jc w:val="left"/>
              <w:rPr/>
            </w:pPr>
            <w:r w:rsidDel="00000000" w:rsidR="00000000" w:rsidRPr="00000000">
              <w:rPr>
                <w:b w:val="0"/>
                <w:bCs w:val="0"/>
                <w:color w:val="000000"/>
                <w:sz w:val="17"/>
                <w:szCs w:val="17"/>
                <w:rtl w:val="0"/>
              </w:rPr>
              <w:t xml:space="preserve">0.00</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1">
            <w:pPr>
              <w:jc w:val="left"/>
              <w:rPr/>
            </w:pPr>
            <w:r w:rsidDel="00000000" w:rsidR="00000000" w:rsidRPr="00000000">
              <w:rPr>
                <w:b w:val="0"/>
                <w:bCs w:val="0"/>
                <w:color w:val="000000"/>
                <w:sz w:val="17"/>
                <w:szCs w:val="17"/>
                <w:rtl w:val="0"/>
              </w:rPr>
              <w:t xml:space="preserve">0.00</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42">
            <w:pPr>
              <w:jc w:val="left"/>
              <w:rPr/>
            </w:pPr>
            <w:r w:rsidDel="00000000" w:rsidR="00000000" w:rsidRPr="00000000">
              <w:rPr>
                <w:b w:val="0"/>
                <w:bCs w:val="0"/>
                <w:color w:val="000000"/>
                <w:sz w:val="17"/>
                <w:szCs w:val="17"/>
                <w:rtl w:val="0"/>
              </w:rPr>
              <w:t xml:space="preserve">Total First Aid Cases</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43">
            <w:pPr>
              <w:jc w:val="left"/>
              <w:rPr/>
            </w:pPr>
            <w:r w:rsidDel="00000000" w:rsidR="00000000" w:rsidRPr="00000000">
              <w:rPr>
                <w:b w:val="0"/>
                <w:bCs w:val="0"/>
                <w:color w:val="000000"/>
                <w:sz w:val="17"/>
                <w:szCs w:val="17"/>
                <w:rtl w:val="0"/>
              </w:rPr>
              <w:t xml:space="preserve">0</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44">
            <w:pPr>
              <w:jc w:val="left"/>
              <w:rPr/>
            </w:pPr>
            <w:r w:rsidDel="00000000" w:rsidR="00000000" w:rsidRPr="00000000">
              <w:rPr>
                <w:b w:val="0"/>
                <w:bCs w:val="0"/>
                <w:color w:val="000000"/>
                <w:sz w:val="17"/>
                <w:szCs w:val="17"/>
                <w:rtl w:val="0"/>
              </w:rPr>
              <w:t xml:space="preserve">2</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45">
            <w:pPr>
              <w:jc w:val="left"/>
              <w:rPr/>
            </w:pPr>
            <w:r w:rsidDel="00000000" w:rsidR="00000000" w:rsidRPr="00000000">
              <w:rPr>
                <w:b w:val="0"/>
                <w:bCs w:val="0"/>
                <w:color w:val="000000"/>
                <w:sz w:val="17"/>
                <w:szCs w:val="17"/>
                <w:rtl w:val="0"/>
              </w:rPr>
              <w:t xml:space="preserve">1</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46">
            <w:pPr>
              <w:jc w:val="left"/>
              <w:rPr/>
            </w:pPr>
            <w:r w:rsidDel="00000000" w:rsidR="00000000" w:rsidRPr="00000000">
              <w:rPr>
                <w:b w:val="0"/>
                <w:bCs w:val="0"/>
                <w:color w:val="000000"/>
                <w:sz w:val="17"/>
                <w:szCs w:val="17"/>
                <w:rtl w:val="0"/>
              </w:rPr>
              <w:t xml:space="preserve">&lt; 2</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47">
            <w:pPr>
              <w:jc w:val="left"/>
              <w:rPr/>
            </w:pPr>
            <w:r w:rsidDel="00000000" w:rsidR="00000000" w:rsidRPr="00000000">
              <w:rPr>
                <w:b w:val="0"/>
                <w:bCs w:val="0"/>
                <w:color w:val="000000"/>
                <w:sz w:val="17"/>
                <w:szCs w:val="17"/>
                <w:rtl w:val="0"/>
              </w:rPr>
              <w:t xml:space="preserve">Near Misses / SWA Reported</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8">
            <w:pPr>
              <w:jc w:val="left"/>
              <w:rPr/>
            </w:pPr>
            <w:r w:rsidDel="00000000" w:rsidR="00000000" w:rsidRPr="00000000">
              <w:rPr>
                <w:b w:val="0"/>
                <w:bCs w:val="0"/>
                <w:color w:val="000000"/>
                <w:sz w:val="17"/>
                <w:szCs w:val="17"/>
                <w:rtl w:val="0"/>
              </w:rPr>
              <w:t xml:space="preserve">1 / 32</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9">
            <w:pPr>
              <w:jc w:val="left"/>
              <w:rPr/>
            </w:pPr>
            <w:r w:rsidDel="00000000" w:rsidR="00000000" w:rsidRPr="00000000">
              <w:rPr>
                <w:b w:val="0"/>
                <w:bCs w:val="0"/>
                <w:color w:val="000000"/>
                <w:sz w:val="17"/>
                <w:szCs w:val="17"/>
                <w:rtl w:val="0"/>
              </w:rPr>
              <w:t xml:space="preserve">2 / 31</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A">
            <w:pPr>
              <w:jc w:val="left"/>
              <w:rPr/>
            </w:pPr>
            <w:r w:rsidDel="00000000" w:rsidR="00000000" w:rsidRPr="00000000">
              <w:rPr>
                <w:b w:val="0"/>
                <w:bCs w:val="0"/>
                <w:color w:val="000000"/>
                <w:sz w:val="17"/>
                <w:szCs w:val="17"/>
                <w:rtl w:val="0"/>
              </w:rPr>
              <w:t xml:space="preserve">1 / 28</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B">
            <w:pPr>
              <w:jc w:val="left"/>
              <w:rPr/>
            </w:pPr>
            <w:r w:rsidDel="00000000" w:rsidR="00000000" w:rsidRPr="00000000">
              <w:rPr>
                <w:b w:val="0"/>
                <w:bCs w:val="0"/>
                <w:color w:val="000000"/>
                <w:sz w:val="17"/>
                <w:szCs w:val="17"/>
                <w:rtl w:val="0"/>
              </w:rPr>
              <w:t xml:space="preserve">&lt; 2 / 40</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4C">
            <w:pPr>
              <w:jc w:val="left"/>
              <w:rPr/>
            </w:pPr>
            <w:r w:rsidDel="00000000" w:rsidR="00000000" w:rsidRPr="00000000">
              <w:rPr>
                <w:b w:val="0"/>
                <w:bCs w:val="0"/>
                <w:color w:val="000000"/>
                <w:sz w:val="17"/>
                <w:szCs w:val="17"/>
                <w:rtl w:val="0"/>
              </w:rPr>
              <w:t xml:space="preserve">Fire Incidents, Other Emergencies &amp; Environmental Impacts</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4D">
            <w:pPr>
              <w:jc w:val="left"/>
              <w:rPr/>
            </w:pPr>
            <w:r w:rsidDel="00000000" w:rsidR="00000000" w:rsidRPr="00000000">
              <w:rPr>
                <w:b w:val="0"/>
                <w:bCs w:val="0"/>
                <w:color w:val="000000"/>
                <w:sz w:val="17"/>
                <w:szCs w:val="17"/>
                <w:rtl w:val="0"/>
              </w:rPr>
              <w:t xml:space="preserve">0</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4E">
            <w:pPr>
              <w:jc w:val="left"/>
              <w:rPr/>
            </w:pPr>
            <w:r w:rsidDel="00000000" w:rsidR="00000000" w:rsidRPr="00000000">
              <w:rPr>
                <w:b w:val="0"/>
                <w:bCs w:val="0"/>
                <w:color w:val="000000"/>
                <w:sz w:val="17"/>
                <w:szCs w:val="17"/>
                <w:rtl w:val="0"/>
              </w:rPr>
              <w:t xml:space="preserve">0</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4F">
            <w:pPr>
              <w:jc w:val="left"/>
              <w:rPr/>
            </w:pPr>
            <w:r w:rsidDel="00000000" w:rsidR="00000000" w:rsidRPr="00000000">
              <w:rPr>
                <w:b w:val="0"/>
                <w:bCs w:val="0"/>
                <w:color w:val="000000"/>
                <w:sz w:val="17"/>
                <w:szCs w:val="17"/>
                <w:rtl w:val="0"/>
              </w:rPr>
              <w:t xml:space="preserve">0</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50">
            <w:pPr>
              <w:jc w:val="left"/>
              <w:rPr/>
            </w:pPr>
            <w:r w:rsidDel="00000000" w:rsidR="00000000" w:rsidRPr="00000000">
              <w:rPr>
                <w:b w:val="0"/>
                <w:bCs w:val="0"/>
                <w:color w:val="000000"/>
                <w:sz w:val="17"/>
                <w:szCs w:val="17"/>
                <w:rtl w:val="0"/>
              </w:rPr>
              <w:t xml:space="preserve">0</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51">
            <w:pPr>
              <w:jc w:val="left"/>
              <w:rPr/>
            </w:pPr>
            <w:r w:rsidDel="00000000" w:rsidR="00000000" w:rsidRPr="00000000">
              <w:rPr>
                <w:b w:val="0"/>
                <w:bCs w:val="0"/>
                <w:color w:val="000000"/>
                <w:sz w:val="17"/>
                <w:szCs w:val="17"/>
                <w:rtl w:val="0"/>
              </w:rPr>
              <w:t xml:space="preserve">Hazard Observations</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2">
            <w:pPr>
              <w:jc w:val="left"/>
              <w:rPr/>
            </w:pPr>
            <w:r w:rsidDel="00000000" w:rsidR="00000000" w:rsidRPr="00000000">
              <w:rPr>
                <w:b w:val="0"/>
                <w:bCs w:val="0"/>
                <w:color w:val="000000"/>
                <w:sz w:val="17"/>
                <w:szCs w:val="17"/>
                <w:rtl w:val="0"/>
              </w:rPr>
              <w:t xml:space="preserve">10</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3">
            <w:pPr>
              <w:jc w:val="left"/>
              <w:rPr/>
            </w:pPr>
            <w:r w:rsidDel="00000000" w:rsidR="00000000" w:rsidRPr="00000000">
              <w:rPr>
                <w:b w:val="0"/>
                <w:bCs w:val="0"/>
                <w:color w:val="000000"/>
                <w:sz w:val="17"/>
                <w:szCs w:val="17"/>
                <w:rtl w:val="0"/>
              </w:rPr>
              <w:t xml:space="preserve">8</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4">
            <w:pPr>
              <w:jc w:val="left"/>
              <w:rPr/>
            </w:pPr>
            <w:r w:rsidDel="00000000" w:rsidR="00000000" w:rsidRPr="00000000">
              <w:rPr>
                <w:b w:val="0"/>
                <w:bCs w:val="0"/>
                <w:color w:val="000000"/>
                <w:sz w:val="17"/>
                <w:szCs w:val="17"/>
                <w:rtl w:val="0"/>
              </w:rPr>
              <w:t xml:space="preserve">6</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5">
            <w:pPr>
              <w:jc w:val="left"/>
              <w:rPr/>
            </w:pPr>
            <w:r w:rsidDel="00000000" w:rsidR="00000000" w:rsidRPr="00000000">
              <w:rPr>
                <w:b w:val="0"/>
                <w:bCs w:val="0"/>
                <w:color w:val="000000"/>
                <w:sz w:val="17"/>
                <w:szCs w:val="17"/>
                <w:rtl w:val="0"/>
              </w:rPr>
              <w:t xml:space="preserve">&lt; 10</w:t>
            </w:r>
            <w:r w:rsidDel="00000000" w:rsidR="00000000" w:rsidRPr="00000000">
              <w:rPr>
                <w:rtl w:val="0"/>
              </w:rPr>
            </w:r>
          </w:p>
        </w:tc>
      </w:tr>
    </w:tbl>
    <w:p w:rsidR="00000000" w:rsidDel="00000000" w:rsidP="00000000" w:rsidRDefault="00000000" w:rsidRPr="00000000" w14:paraId="00000056">
      <w:pPr>
        <w:spacing w:after="150" w:line="276" w:lineRule="auto"/>
        <w:rPr/>
      </w:pPr>
      <w:r w:rsidDel="00000000" w:rsidR="00000000" w:rsidRPr="00000000">
        <w:rPr>
          <w:i w:val="1"/>
          <w:iCs w:val="1"/>
          <w:sz w:val="18"/>
          <w:szCs w:val="18"/>
          <w:rtl w:val="0"/>
        </w:rPr>
        <w:t xml:space="preserve">Figures above are reproduced exactly as presented in the HSE Plan's HSE Performance Statistics record.</w:t>
      </w:r>
      <w:r w:rsidDel="00000000" w:rsidR="00000000" w:rsidRPr="00000000">
        <w:rPr>
          <w:rtl w:val="0"/>
        </w:rPr>
      </w:r>
    </w:p>
    <w:p w:rsidR="00000000" w:rsidDel="00000000" w:rsidP="00000000" w:rsidRDefault="00000000" w:rsidRPr="00000000" w14:paraId="00000057">
      <w:pPr>
        <w:rPr/>
      </w:pPr>
      <w:r w:rsidDel="00000000" w:rsidR="00000000" w:rsidRPr="00000000">
        <w:br w:type="page"/>
      </w:r>
      <w:r w:rsidDel="00000000" w:rsidR="00000000" w:rsidRPr="00000000">
        <w:rPr>
          <w:rtl w:val="0"/>
        </w:rPr>
      </w:r>
    </w:p>
    <w:p w:rsidR="00000000" w:rsidDel="00000000" w:rsidP="00000000" w:rsidRDefault="00000000" w:rsidRPr="00000000" w14:paraId="00000058">
      <w:pPr>
        <w:pStyle w:val="Heading1"/>
        <w:spacing w:after="140" w:before="300" w:lineRule="auto"/>
        <w:rPr/>
      </w:pPr>
      <w:r w:rsidDel="00000000" w:rsidR="00000000" w:rsidRPr="00000000">
        <w:rPr>
          <w:b w:val="1"/>
          <w:bCs w:val="1"/>
          <w:color w:val="1f3864"/>
          <w:sz w:val="26"/>
          <w:szCs w:val="26"/>
          <w:rtl w:val="0"/>
        </w:rPr>
        <w:t xml:space="preserve">3.0  Performance Analysis &amp; Trends</w:t>
      </w:r>
      <w:r w:rsidDel="00000000" w:rsidR="00000000" w:rsidRPr="00000000">
        <w:rPr>
          <w:rtl w:val="0"/>
        </w:rPr>
      </w:r>
    </w:p>
    <w:p w:rsidR="00000000" w:rsidDel="00000000" w:rsidP="00000000" w:rsidRDefault="00000000" w:rsidRPr="00000000" w14:paraId="00000059">
      <w:pPr>
        <w:pStyle w:val="Heading2"/>
        <w:spacing w:after="100" w:before="200" w:lineRule="auto"/>
        <w:rPr/>
      </w:pPr>
      <w:r w:rsidDel="00000000" w:rsidR="00000000" w:rsidRPr="00000000">
        <w:rPr>
          <w:b w:val="1"/>
          <w:bCs w:val="1"/>
          <w:color w:val="1f3864"/>
          <w:sz w:val="21"/>
          <w:szCs w:val="21"/>
          <w:rtl w:val="0"/>
        </w:rPr>
        <w:t xml:space="preserve">3.1  Positive Trends</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Zero fatalities sustained across all three years, despite a 25.7% increase in Total Man-Hours Worked.</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Zero Restricted Work-Day Cases and zero Fire/Emergency/Environmental Impacts across the full period.</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2025 Medical Treatment and First Aid Cases both improved relative to 2024.</w:t>
      </w:r>
    </w:p>
    <w:p w:rsidR="00000000" w:rsidDel="00000000" w:rsidP="00000000" w:rsidRDefault="00000000" w:rsidRPr="00000000" w14:paraId="0000005D">
      <w:pPr>
        <w:pStyle w:val="Heading2"/>
        <w:spacing w:after="100" w:before="200" w:lineRule="auto"/>
        <w:rPr/>
      </w:pPr>
      <w:r w:rsidDel="00000000" w:rsidR="00000000" w:rsidRPr="00000000">
        <w:rPr>
          <w:b w:val="1"/>
          <w:bCs w:val="1"/>
          <w:color w:val="1f3864"/>
          <w:sz w:val="21"/>
          <w:szCs w:val="21"/>
          <w:rtl w:val="0"/>
        </w:rPr>
        <w:t xml:space="preserve">3.2  Areas Requiring Attention</w:t>
      </w:r>
      <w:r w:rsidDel="00000000" w:rsidR="00000000" w:rsidRPr="00000000">
        <w:rPr>
          <w:rtl w:val="0"/>
        </w:rPr>
      </w:r>
    </w:p>
    <w:tbl>
      <w:tblPr>
        <w:tblStyle w:val="Table3"/>
        <w:tblW w:w="1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
        <w:tblGridChange w:id="0">
          <w:tblGrid>
            <w:gridCol w:w="100"/>
          </w:tblGrid>
        </w:tblGridChange>
      </w:tblGrid>
      <w:tr>
        <w:trPr>
          <w:cantSplit w:val="0"/>
          <w:tblHeader w:val="0"/>
        </w:trPr>
        <w:tc>
          <w:tcPr>
            <w:tcBorders>
              <w:top w:color="fff3d6" w:space="0" w:sz="4" w:val="single"/>
              <w:left w:color="b8860b" w:space="0" w:sz="24" w:val="single"/>
              <w:bottom w:color="fff3d6" w:space="0" w:sz="4" w:val="single"/>
              <w:right w:color="fff3d6" w:space="0" w:sz="4" w:val="single"/>
            </w:tcBorders>
            <w:shd w:fill="fff3d6" w:val="clear"/>
            <w:tcMar>
              <w:top w:w="140.0" w:type="dxa"/>
              <w:left w:w="200.0" w:type="dxa"/>
              <w:bottom w:w="140.0" w:type="dxa"/>
              <w:right w:w="200.0" w:type="dxa"/>
            </w:tcMar>
          </w:tcPr>
          <w:p w:rsidR="00000000" w:rsidDel="00000000" w:rsidP="00000000" w:rsidRDefault="00000000" w:rsidRPr="00000000" w14:paraId="0000005E">
            <w:pPr>
              <w:spacing w:after="60" w:lineRule="auto"/>
              <w:rPr/>
            </w:pPr>
            <w:r w:rsidDel="00000000" w:rsidR="00000000" w:rsidRPr="00000000">
              <w:rPr>
                <w:b w:val="1"/>
                <w:bCs w:val="1"/>
                <w:color w:val="1f3864"/>
                <w:sz w:val="20"/>
                <w:szCs w:val="20"/>
                <w:rtl w:val="0"/>
              </w:rPr>
              <w:t xml:space="preserve">KEY TREND</w:t>
            </w:r>
            <w:r w:rsidDel="00000000" w:rsidR="00000000" w:rsidRPr="00000000">
              <w:rPr>
                <w:rtl w:val="0"/>
              </w:rPr>
            </w:r>
          </w:p>
          <w:p w:rsidR="00000000" w:rsidDel="00000000" w:rsidP="00000000" w:rsidRDefault="00000000" w:rsidRPr="00000000" w14:paraId="0000005F">
            <w:pPr>
              <w:rPr/>
            </w:pPr>
            <w:r w:rsidDel="00000000" w:rsidR="00000000" w:rsidRPr="00000000">
              <w:rPr>
                <w:rFonts w:ascii="Cardo" w:cs="Cardo" w:eastAsia="Cardo" w:hAnsi="Cardo"/>
                <w:sz w:val="20"/>
                <w:szCs w:val="20"/>
                <w:rtl w:val="0"/>
              </w:rPr>
              <w:t xml:space="preserve">Hazard Observations (10 → 8 → 6) and Near-Miss/SWA reports (32 → 31 → 28) both declined steadily over 2023–2025 — the same period in which the Company's only LTI occurred (2025). Per the Procedure for Including Leading &amp; Lagging KPIs (SWDA-HSE-KPIPROC-001), a Leading KPI decline coinciding with a Lagging KPI deterioration is treated as a compliance red flag requiring investigation, not simply as two unrelated figures.</w:t>
            </w:r>
            <w:r w:rsidDel="00000000" w:rsidR="00000000" w:rsidRPr="00000000">
              <w:rPr>
                <w:rtl w:val="0"/>
              </w:rPr>
            </w:r>
          </w:p>
        </w:tc>
      </w:tr>
    </w:tbl>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recorded LTIF/TRIF of 0.00 for 2025 does not reconcile with the standard formula given the recorded 2025 LTI and MHW — recommend recalculation per SWDA-HSE-KPI-001.</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Gungsuh" w:cs="Gungsuh" w:eastAsia="Gungsuh" w:hAnsi="Gungsuh"/>
          <w:b w:val="0"/>
          <w:bCs w:val="0"/>
          <w:i w:val="0"/>
          <w:iCs w:val="0"/>
          <w:smallCaps w:val="0"/>
          <w:strike w:val="0"/>
          <w:color w:val="000000"/>
          <w:sz w:val="20"/>
          <w:szCs w:val="20"/>
          <w:u w:val="none"/>
          <w:shd w:fill="auto" w:val="clear"/>
          <w:vertAlign w:val="baseline"/>
          <w:rtl w:val="0"/>
        </w:rPr>
        <w:t xml:space="preserve">2024 Medical Treatment Cases (2) exceeded the target of ≤1; root cause of that year's elevation should be reviewed if not already closed out.</w:t>
      </w:r>
    </w:p>
    <w:p w:rsidR="00000000" w:rsidDel="00000000" w:rsidP="00000000" w:rsidRDefault="00000000" w:rsidRPr="00000000" w14:paraId="00000062">
      <w:pPr>
        <w:pStyle w:val="Heading1"/>
        <w:spacing w:after="140" w:before="300" w:lineRule="auto"/>
        <w:rPr/>
      </w:pPr>
      <w:r w:rsidDel="00000000" w:rsidR="00000000" w:rsidRPr="00000000">
        <w:rPr>
          <w:b w:val="1"/>
          <w:bCs w:val="1"/>
          <w:color w:val="1f3864"/>
          <w:sz w:val="26"/>
          <w:szCs w:val="26"/>
          <w:rtl w:val="0"/>
        </w:rPr>
        <w:t xml:space="preserve">4.0  Conclusion</w:t>
      </w:r>
      <w:r w:rsidDel="00000000" w:rsidR="00000000" w:rsidRPr="00000000">
        <w:rPr>
          <w:rtl w:val="0"/>
        </w:rPr>
      </w:r>
    </w:p>
    <w:p w:rsidR="00000000" w:rsidDel="00000000" w:rsidP="00000000" w:rsidRDefault="00000000" w:rsidRPr="00000000" w14:paraId="00000063">
      <w:pPr>
        <w:spacing w:after="150" w:line="276" w:lineRule="auto"/>
        <w:rPr/>
      </w:pPr>
      <w:r w:rsidDel="00000000" w:rsidR="00000000" w:rsidRPr="00000000">
        <w:rPr>
          <w:sz w:val="20"/>
          <w:szCs w:val="20"/>
          <w:rtl w:val="0"/>
        </w:rPr>
        <w:t xml:space="preserve">SWDA's 3-year HSE KPI record demonstrates sustained strong performance on the Company's most critical Lagging indicators (fatalities, environmental impact) through a period of growing operational activity. The declining trend in Leading KPI reporting, and the single 2025 LTI, are the Company's principal areas for continued focus, consistent with the calibration and investigation principles now formalized in SWDA-HSE-KPIPROC-001.</w:t>
      </w:r>
      <w:r w:rsidDel="00000000" w:rsidR="00000000" w:rsidRPr="00000000">
        <w:rPr>
          <w:rtl w:val="0"/>
        </w:rPr>
      </w:r>
    </w:p>
    <w:p w:rsidR="00000000" w:rsidDel="00000000" w:rsidP="00000000" w:rsidRDefault="00000000" w:rsidRPr="00000000" w14:paraId="00000064">
      <w:pPr>
        <w:pStyle w:val="Heading1"/>
        <w:spacing w:after="140" w:before="300" w:lineRule="auto"/>
        <w:rPr/>
      </w:pPr>
      <w:r w:rsidDel="00000000" w:rsidR="00000000" w:rsidRPr="00000000">
        <w:rPr>
          <w:b w:val="1"/>
          <w:bCs w:val="1"/>
          <w:color w:val="1f3864"/>
          <w:sz w:val="26"/>
          <w:szCs w:val="26"/>
          <w:rtl w:val="0"/>
        </w:rPr>
        <w:t xml:space="preserve">5.0  Managing Director's Endorsement</w:t>
      </w:r>
      <w:r w:rsidDel="00000000" w:rsidR="00000000" w:rsidRPr="00000000">
        <w:rPr>
          <w:rtl w:val="0"/>
        </w:rPr>
      </w:r>
    </w:p>
    <w:p w:rsidR="00000000" w:rsidDel="00000000" w:rsidP="00000000" w:rsidRDefault="00000000" w:rsidRPr="00000000" w14:paraId="00000065">
      <w:pPr>
        <w:spacing w:after="150" w:line="276" w:lineRule="auto"/>
        <w:rPr/>
      </w:pPr>
      <w:r w:rsidDel="00000000" w:rsidR="00000000" w:rsidRPr="00000000">
        <w:rPr>
          <w:sz w:val="20"/>
          <w:szCs w:val="20"/>
          <w:rtl w:val="0"/>
        </w:rPr>
        <w:t xml:space="preserve">This HSE KPIs Report for 2023–2025, reproduced from the Company's HSE Plan HSE Performance Statistics, is endorsed as the Company's official 3-year HSE KPI record.</w:t>
      </w:r>
      <w:r w:rsidDel="00000000" w:rsidR="00000000" w:rsidRPr="00000000">
        <w:rPr>
          <w:rtl w:val="0"/>
        </w:rPr>
      </w:r>
    </w:p>
    <w:p w:rsidR="00000000" w:rsidDel="00000000" w:rsidP="00000000" w:rsidRDefault="00000000" w:rsidRPr="00000000" w14:paraId="00000066">
      <w:pPr>
        <w:spacing w:after="90" w:before="260" w:lineRule="auto"/>
        <w:rPr/>
      </w:pPr>
      <w:r w:rsidDel="00000000" w:rsidR="00000000" w:rsidRPr="00000000">
        <w:rPr>
          <w:sz w:val="20"/>
          <w:szCs w:val="20"/>
          <w:rtl w:val="0"/>
        </w:rPr>
        <w:t xml:space="preserve">SIGNED: ______________________________          DATE: ______________</w:t>
      </w:r>
      <w:r w:rsidDel="00000000" w:rsidR="00000000" w:rsidRPr="00000000">
        <w:rPr>
          <w:rtl w:val="0"/>
        </w:rPr>
      </w:r>
    </w:p>
    <w:p w:rsidR="00000000" w:rsidDel="00000000" w:rsidP="00000000" w:rsidRDefault="00000000" w:rsidRPr="00000000" w14:paraId="00000067">
      <w:pPr>
        <w:spacing w:after="60" w:lineRule="auto"/>
        <w:rPr/>
      </w:pPr>
      <w:r w:rsidDel="00000000" w:rsidR="00000000" w:rsidRPr="00000000">
        <w:rPr>
          <w:i w:val="1"/>
          <w:iCs w:val="1"/>
          <w:sz w:val="19"/>
          <w:szCs w:val="19"/>
          <w:rtl w:val="0"/>
        </w:rPr>
        <w:t xml:space="preserve">Chief Executive Officer / Managing Director</w:t>
      </w:r>
      <w:r w:rsidDel="00000000" w:rsidR="00000000" w:rsidRPr="00000000">
        <w:rPr>
          <w:rtl w:val="0"/>
        </w:rPr>
      </w:r>
    </w:p>
    <w:p w:rsidR="00000000" w:rsidDel="00000000" w:rsidP="00000000" w:rsidRDefault="00000000" w:rsidRPr="00000000" w14:paraId="00000068">
      <w:pPr>
        <w:rPr/>
      </w:pPr>
      <w:r w:rsidDel="00000000" w:rsidR="00000000" w:rsidRPr="00000000">
        <w:rPr>
          <w:i w:val="1"/>
          <w:iCs w:val="1"/>
          <w:sz w:val="19"/>
          <w:szCs w:val="19"/>
          <w:rtl w:val="0"/>
        </w:rPr>
        <w:t xml:space="preserve">South West Design Africa Limited (SWDA)</w:t>
      </w:r>
      <w:r w:rsidDel="00000000" w:rsidR="00000000" w:rsidRPr="00000000">
        <w:rPr>
          <w:rtl w:val="0"/>
        </w:rPr>
      </w:r>
    </w:p>
    <w:sectPr>
      <w:headerReference r:id="rId6" w:type="default"/>
      <w:footerReference r:id="rId7" w:type="default"/>
      <w:pgSz w:h="15840" w:w="12240" w:orient="portrait"/>
      <w:pgMar w:bottom="1000" w:top="1000" w:left="1000" w:right="10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Gungsuh"/>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jc w:val="center"/>
      <w:rPr/>
    </w:pPr>
    <w:r w:rsidDel="00000000" w:rsidR="00000000" w:rsidRPr="00000000">
      <w:rPr>
        <w:color w:val="777777"/>
        <w:sz w:val="15"/>
        <w:szCs w:val="15"/>
        <w:rtl w:val="0"/>
      </w:rPr>
      <w:t xml:space="preserve">Page </w:t>
    </w:r>
    <w:r w:rsidDel="00000000" w:rsidR="00000000" w:rsidRPr="00000000">
      <w:rPr>
        <w:color w:val="777777"/>
        <w:sz w:val="15"/>
        <w:szCs w:val="15"/>
      </w:rPr>
      <w:fldChar w:fldCharType="begin"/>
      <w:instrText xml:space="preserve">PAGE</w:instrText>
      <w:fldChar w:fldCharType="separate"/>
      <w:fldChar w:fldCharType="end"/>
    </w:r>
    <w:r w:rsidDel="00000000" w:rsidR="00000000" w:rsidRPr="00000000">
      <w:rPr>
        <w:color w:val="777777"/>
        <w:sz w:val="15"/>
        <w:szCs w:val="15"/>
        <w:rtl w:val="0"/>
      </w:rPr>
      <w:t xml:space="preserve"> of </w:t>
    </w:r>
    <w:r w:rsidDel="00000000" w:rsidR="00000000" w:rsidRPr="00000000">
      <w:rPr>
        <w:color w:val="777777"/>
        <w:sz w:val="15"/>
        <w:szCs w:val="15"/>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pBdr>
        <w:bottom w:color="cccccc" w:space="4" w:sz="6" w:val="single"/>
      </w:pBdr>
      <w:jc w:val="center"/>
      <w:rPr/>
    </w:pPr>
    <w:r w:rsidDel="00000000" w:rsidR="00000000" w:rsidRPr="00000000">
      <w:rPr>
        <w:color w:val="777777"/>
        <w:sz w:val="15"/>
        <w:szCs w:val="15"/>
        <w:rtl w:val="0"/>
      </w:rPr>
      <w:t xml:space="preserve">SWDA – HSE KPIs Report (2023–2025)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4" w:hanging="288"/>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