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C0FA1" w14:textId="77777777" w:rsidR="00EB47F0" w:rsidRDefault="00000000">
      <w:pPr>
        <w:spacing w:after="60"/>
        <w:jc w:val="center"/>
      </w:pPr>
      <w:r>
        <w:rPr>
          <w:rFonts w:ascii="Calibri" w:eastAsia="Calibri" w:hAnsi="Calibri" w:cs="Calibri"/>
          <w:b/>
          <w:bCs/>
          <w:color w:val="1F3864"/>
          <w:sz w:val="30"/>
          <w:szCs w:val="30"/>
        </w:rPr>
        <w:t>SOUTH WEST DESIGN AFRICA LTD. (SWDA)</w:t>
      </w:r>
    </w:p>
    <w:p w14:paraId="4AD6D38D" w14:textId="77777777" w:rsidR="00EB47F0" w:rsidRDefault="00000000">
      <w:pPr>
        <w:pBdr>
          <w:bottom w:val="single" w:sz="16" w:space="6" w:color="B08A2E"/>
        </w:pBdr>
        <w:spacing w:after="300"/>
        <w:jc w:val="center"/>
      </w:pPr>
      <w:r>
        <w:rPr>
          <w:rFonts w:ascii="Calibri" w:eastAsia="Calibri" w:hAnsi="Calibri" w:cs="Calibri"/>
          <w:b/>
          <w:bCs/>
          <w:color w:val="1F3864"/>
          <w:sz w:val="26"/>
          <w:szCs w:val="26"/>
        </w:rPr>
        <w:t>SOCIAL RISK PROCEDURE &amp; POLICY</w:t>
      </w:r>
    </w:p>
    <w:p w14:paraId="2E7EAB5B" w14:textId="225FEA92" w:rsidR="00EB47F0" w:rsidRDefault="00000000">
      <w:pPr>
        <w:spacing w:after="200"/>
        <w:jc w:val="center"/>
      </w:pPr>
      <w:r>
        <w:rPr>
          <w:rFonts w:ascii="Calibri" w:eastAsia="Calibri" w:hAnsi="Calibri" w:cs="Calibri"/>
          <w:i/>
          <w:iCs/>
          <w:color w:val="555555"/>
        </w:rPr>
        <w:t xml:space="preserve">Document Ref.: SWDA-HSE-POL-PROC-04.3.9      |      Rev. 00      |      </w:t>
      </w:r>
      <w:r w:rsidR="009B021A">
        <w:rPr>
          <w:rFonts w:ascii="Calibri" w:eastAsia="Calibri" w:hAnsi="Calibri" w:cs="Calibri"/>
          <w:i/>
          <w:iCs/>
          <w:color w:val="555555"/>
        </w:rPr>
        <w:t>18</w:t>
      </w:r>
      <w:r>
        <w:rPr>
          <w:rFonts w:ascii="Calibri" w:eastAsia="Calibri" w:hAnsi="Calibri" w:cs="Calibri"/>
          <w:i/>
          <w:iCs/>
          <w:color w:val="555555"/>
        </w:rPr>
        <w:t xml:space="preserve"> August 202</w:t>
      </w:r>
      <w:r w:rsidR="009B021A">
        <w:rPr>
          <w:rFonts w:ascii="Calibri" w:eastAsia="Calibri" w:hAnsi="Calibri" w:cs="Calibri"/>
          <w:i/>
          <w:iCs/>
          <w:color w:val="555555"/>
        </w:rPr>
        <w:t>5</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300"/>
        <w:gridCol w:w="2950"/>
        <w:gridCol w:w="1400"/>
        <w:gridCol w:w="1400"/>
        <w:gridCol w:w="1400"/>
      </w:tblGrid>
      <w:tr w:rsidR="00EB47F0" w14:paraId="31EE2B2F" w14:textId="77777777">
        <w:trPr>
          <w:tblHeader/>
        </w:trPr>
        <w:tc>
          <w:tcPr>
            <w:tcW w:w="900" w:type="dxa"/>
            <w:shd w:val="clear" w:color="auto" w:fill="1F3864"/>
            <w:tcMar>
              <w:top w:w="80" w:type="dxa"/>
              <w:left w:w="100" w:type="dxa"/>
              <w:bottom w:w="80" w:type="dxa"/>
              <w:right w:w="100" w:type="dxa"/>
            </w:tcMar>
            <w:vAlign w:val="center"/>
          </w:tcPr>
          <w:p w14:paraId="4C808173" w14:textId="77777777" w:rsidR="00EB47F0" w:rsidRDefault="00000000">
            <w:pPr>
              <w:jc w:val="center"/>
            </w:pPr>
            <w:r>
              <w:rPr>
                <w:rFonts w:ascii="Calibri" w:eastAsia="Calibri" w:hAnsi="Calibri" w:cs="Calibri"/>
                <w:b/>
                <w:bCs/>
                <w:color w:val="FFFFFF"/>
              </w:rPr>
              <w:t>REV</w:t>
            </w:r>
          </w:p>
        </w:tc>
        <w:tc>
          <w:tcPr>
            <w:tcW w:w="1300" w:type="dxa"/>
            <w:shd w:val="clear" w:color="auto" w:fill="1F3864"/>
            <w:tcMar>
              <w:top w:w="80" w:type="dxa"/>
              <w:left w:w="100" w:type="dxa"/>
              <w:bottom w:w="80" w:type="dxa"/>
              <w:right w:w="100" w:type="dxa"/>
            </w:tcMar>
            <w:vAlign w:val="center"/>
          </w:tcPr>
          <w:p w14:paraId="78F2E5E0" w14:textId="77777777" w:rsidR="00EB47F0" w:rsidRDefault="00000000">
            <w:pPr>
              <w:jc w:val="center"/>
            </w:pPr>
            <w:r>
              <w:rPr>
                <w:rFonts w:ascii="Calibri" w:eastAsia="Calibri" w:hAnsi="Calibri" w:cs="Calibri"/>
                <w:b/>
                <w:bCs/>
                <w:color w:val="FFFFFF"/>
              </w:rPr>
              <w:t>DATE</w:t>
            </w:r>
          </w:p>
        </w:tc>
        <w:tc>
          <w:tcPr>
            <w:tcW w:w="2950" w:type="dxa"/>
            <w:shd w:val="clear" w:color="auto" w:fill="1F3864"/>
            <w:tcMar>
              <w:top w:w="80" w:type="dxa"/>
              <w:left w:w="100" w:type="dxa"/>
              <w:bottom w:w="80" w:type="dxa"/>
              <w:right w:w="100" w:type="dxa"/>
            </w:tcMar>
            <w:vAlign w:val="center"/>
          </w:tcPr>
          <w:p w14:paraId="1969BF0F" w14:textId="77777777" w:rsidR="00EB47F0" w:rsidRDefault="00000000">
            <w:pPr>
              <w:jc w:val="center"/>
            </w:pPr>
            <w:r>
              <w:rPr>
                <w:rFonts w:ascii="Calibri" w:eastAsia="Calibri" w:hAnsi="Calibri" w:cs="Calibri"/>
                <w:b/>
                <w:bCs/>
                <w:color w:val="FFFFFF"/>
              </w:rPr>
              <w:t>DESCRIPTION</w:t>
            </w:r>
          </w:p>
        </w:tc>
        <w:tc>
          <w:tcPr>
            <w:tcW w:w="1400" w:type="dxa"/>
            <w:shd w:val="clear" w:color="auto" w:fill="1F3864"/>
            <w:tcMar>
              <w:top w:w="80" w:type="dxa"/>
              <w:left w:w="100" w:type="dxa"/>
              <w:bottom w:w="80" w:type="dxa"/>
              <w:right w:w="100" w:type="dxa"/>
            </w:tcMar>
            <w:vAlign w:val="center"/>
          </w:tcPr>
          <w:p w14:paraId="08D35F85" w14:textId="77777777" w:rsidR="00EB47F0" w:rsidRDefault="00000000">
            <w:pPr>
              <w:jc w:val="center"/>
            </w:pPr>
            <w:r>
              <w:rPr>
                <w:rFonts w:ascii="Calibri" w:eastAsia="Calibri" w:hAnsi="Calibri" w:cs="Calibri"/>
                <w:b/>
                <w:bCs/>
                <w:color w:val="FFFFFF"/>
              </w:rPr>
              <w:t>PREPARED</w:t>
            </w:r>
          </w:p>
        </w:tc>
        <w:tc>
          <w:tcPr>
            <w:tcW w:w="1400" w:type="dxa"/>
            <w:shd w:val="clear" w:color="auto" w:fill="1F3864"/>
            <w:tcMar>
              <w:top w:w="80" w:type="dxa"/>
              <w:left w:w="100" w:type="dxa"/>
              <w:bottom w:w="80" w:type="dxa"/>
              <w:right w:w="100" w:type="dxa"/>
            </w:tcMar>
            <w:vAlign w:val="center"/>
          </w:tcPr>
          <w:p w14:paraId="30042638" w14:textId="77777777" w:rsidR="00EB47F0" w:rsidRDefault="00000000">
            <w:pPr>
              <w:jc w:val="center"/>
            </w:pPr>
            <w:r>
              <w:rPr>
                <w:rFonts w:ascii="Calibri" w:eastAsia="Calibri" w:hAnsi="Calibri" w:cs="Calibri"/>
                <w:b/>
                <w:bCs/>
                <w:color w:val="FFFFFF"/>
              </w:rPr>
              <w:t>REVIEWED</w:t>
            </w:r>
          </w:p>
        </w:tc>
        <w:tc>
          <w:tcPr>
            <w:tcW w:w="1400" w:type="dxa"/>
            <w:shd w:val="clear" w:color="auto" w:fill="1F3864"/>
            <w:tcMar>
              <w:top w:w="80" w:type="dxa"/>
              <w:left w:w="100" w:type="dxa"/>
              <w:bottom w:w="80" w:type="dxa"/>
              <w:right w:w="100" w:type="dxa"/>
            </w:tcMar>
            <w:vAlign w:val="center"/>
          </w:tcPr>
          <w:p w14:paraId="2A3AEEF6" w14:textId="77777777" w:rsidR="00EB47F0" w:rsidRDefault="00000000">
            <w:pPr>
              <w:jc w:val="center"/>
            </w:pPr>
            <w:r>
              <w:rPr>
                <w:rFonts w:ascii="Calibri" w:eastAsia="Calibri" w:hAnsi="Calibri" w:cs="Calibri"/>
                <w:b/>
                <w:bCs/>
                <w:color w:val="FFFFFF"/>
              </w:rPr>
              <w:t>APPRVD</w:t>
            </w:r>
          </w:p>
        </w:tc>
      </w:tr>
      <w:tr w:rsidR="00EB47F0" w14:paraId="5DB6FD43" w14:textId="77777777">
        <w:tc>
          <w:tcPr>
            <w:tcW w:w="900" w:type="dxa"/>
            <w:tcMar>
              <w:top w:w="80" w:type="dxa"/>
              <w:left w:w="100" w:type="dxa"/>
              <w:bottom w:w="80" w:type="dxa"/>
              <w:right w:w="100" w:type="dxa"/>
            </w:tcMar>
            <w:vAlign w:val="center"/>
          </w:tcPr>
          <w:p w14:paraId="18FB7F6C" w14:textId="77777777" w:rsidR="00EB47F0" w:rsidRDefault="00000000">
            <w:pPr>
              <w:jc w:val="center"/>
            </w:pPr>
            <w:r>
              <w:rPr>
                <w:rFonts w:ascii="Calibri" w:eastAsia="Calibri" w:hAnsi="Calibri" w:cs="Calibri"/>
                <w:color w:val="000000"/>
              </w:rPr>
              <w:t>00</w:t>
            </w:r>
          </w:p>
        </w:tc>
        <w:tc>
          <w:tcPr>
            <w:tcW w:w="1300" w:type="dxa"/>
            <w:tcMar>
              <w:top w:w="80" w:type="dxa"/>
              <w:left w:w="100" w:type="dxa"/>
              <w:bottom w:w="80" w:type="dxa"/>
              <w:right w:w="100" w:type="dxa"/>
            </w:tcMar>
            <w:vAlign w:val="center"/>
          </w:tcPr>
          <w:p w14:paraId="03540171" w14:textId="17C8C635" w:rsidR="00EB47F0" w:rsidRDefault="009B021A">
            <w:pPr>
              <w:jc w:val="center"/>
            </w:pPr>
            <w:r>
              <w:rPr>
                <w:rFonts w:ascii="Calibri" w:eastAsia="Calibri" w:hAnsi="Calibri" w:cs="Calibri"/>
                <w:color w:val="000000"/>
              </w:rPr>
              <w:t>18</w:t>
            </w:r>
            <w:r w:rsidR="00000000">
              <w:rPr>
                <w:rFonts w:ascii="Calibri" w:eastAsia="Calibri" w:hAnsi="Calibri" w:cs="Calibri"/>
                <w:color w:val="000000"/>
              </w:rPr>
              <w:t>/08/202</w:t>
            </w:r>
            <w:r>
              <w:rPr>
                <w:rFonts w:ascii="Calibri" w:eastAsia="Calibri" w:hAnsi="Calibri" w:cs="Calibri"/>
                <w:color w:val="000000"/>
              </w:rPr>
              <w:t>5</w:t>
            </w:r>
          </w:p>
        </w:tc>
        <w:tc>
          <w:tcPr>
            <w:tcW w:w="2950" w:type="dxa"/>
            <w:tcMar>
              <w:top w:w="80" w:type="dxa"/>
              <w:left w:w="100" w:type="dxa"/>
              <w:bottom w:w="80" w:type="dxa"/>
              <w:right w:w="100" w:type="dxa"/>
            </w:tcMar>
            <w:vAlign w:val="center"/>
          </w:tcPr>
          <w:p w14:paraId="48C81029" w14:textId="77777777" w:rsidR="00EB47F0" w:rsidRDefault="00000000">
            <w:r>
              <w:rPr>
                <w:rFonts w:ascii="Calibri" w:eastAsia="Calibri" w:hAnsi="Calibri" w:cs="Calibri"/>
                <w:color w:val="000000"/>
              </w:rPr>
              <w:t>Issued as new SWDA Social Risk Procedure &amp; Policy, naming Social Risk Responsible Person (supports HSEP Section 4.3.5)</w:t>
            </w:r>
          </w:p>
        </w:tc>
        <w:tc>
          <w:tcPr>
            <w:tcW w:w="1400" w:type="dxa"/>
            <w:tcMar>
              <w:top w:w="80" w:type="dxa"/>
              <w:left w:w="100" w:type="dxa"/>
              <w:bottom w:w="80" w:type="dxa"/>
              <w:right w:w="100" w:type="dxa"/>
            </w:tcMar>
            <w:vAlign w:val="center"/>
          </w:tcPr>
          <w:p w14:paraId="3E20D302" w14:textId="7DB608EB" w:rsidR="00EB47F0" w:rsidRPr="009B021A" w:rsidRDefault="009B021A">
            <w:pPr>
              <w:jc w:val="center"/>
              <w:rPr>
                <w:rFonts w:asciiTheme="minorHAnsi" w:hAnsiTheme="minorHAnsi" w:cstheme="minorHAnsi"/>
              </w:rPr>
            </w:pPr>
            <w:r>
              <w:rPr>
                <w:rFonts w:asciiTheme="minorHAnsi" w:hAnsiTheme="minorHAnsi" w:cstheme="minorHAnsi"/>
              </w:rPr>
              <w:t>MI</w:t>
            </w:r>
          </w:p>
        </w:tc>
        <w:tc>
          <w:tcPr>
            <w:tcW w:w="1400" w:type="dxa"/>
            <w:tcMar>
              <w:top w:w="80" w:type="dxa"/>
              <w:left w:w="100" w:type="dxa"/>
              <w:bottom w:w="80" w:type="dxa"/>
              <w:right w:w="100" w:type="dxa"/>
            </w:tcMar>
            <w:vAlign w:val="center"/>
          </w:tcPr>
          <w:p w14:paraId="0C4BC39B" w14:textId="2030A4A6" w:rsidR="00EB47F0" w:rsidRPr="009B021A" w:rsidRDefault="009B021A">
            <w:pPr>
              <w:jc w:val="center"/>
              <w:rPr>
                <w:rFonts w:asciiTheme="minorHAnsi" w:hAnsiTheme="minorHAnsi" w:cstheme="minorHAnsi"/>
              </w:rPr>
            </w:pPr>
            <w:r w:rsidRPr="009B021A">
              <w:rPr>
                <w:rFonts w:asciiTheme="minorHAnsi" w:hAnsiTheme="minorHAnsi" w:cstheme="minorHAnsi"/>
              </w:rPr>
              <w:t>NEJ</w:t>
            </w:r>
          </w:p>
        </w:tc>
        <w:tc>
          <w:tcPr>
            <w:tcW w:w="1400" w:type="dxa"/>
            <w:tcMar>
              <w:top w:w="80" w:type="dxa"/>
              <w:left w:w="100" w:type="dxa"/>
              <w:bottom w:w="80" w:type="dxa"/>
              <w:right w:w="100" w:type="dxa"/>
            </w:tcMar>
            <w:vAlign w:val="center"/>
          </w:tcPr>
          <w:p w14:paraId="519BB68C" w14:textId="77777777" w:rsidR="00EB47F0" w:rsidRDefault="00000000">
            <w:pPr>
              <w:jc w:val="center"/>
            </w:pPr>
            <w:r>
              <w:rPr>
                <w:rFonts w:ascii="Calibri" w:eastAsia="Calibri" w:hAnsi="Calibri" w:cs="Calibri"/>
                <w:color w:val="000000"/>
              </w:rPr>
              <w:t>GW</w:t>
            </w:r>
          </w:p>
        </w:tc>
      </w:tr>
    </w:tbl>
    <w:p w14:paraId="501EDC77" w14:textId="77777777" w:rsidR="00EB47F0" w:rsidRDefault="00EB47F0">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EB47F0" w14:paraId="7D4F0180" w14:textId="77777777">
        <w:tc>
          <w:tcPr>
            <w:tcW w:w="9350" w:type="dxa"/>
            <w:shd w:val="clear" w:color="auto" w:fill="FBF6E9"/>
            <w:tcMar>
              <w:top w:w="160" w:type="dxa"/>
              <w:left w:w="200" w:type="dxa"/>
              <w:bottom w:w="160" w:type="dxa"/>
              <w:right w:w="200" w:type="dxa"/>
            </w:tcMar>
          </w:tcPr>
          <w:p w14:paraId="4AFC9500" w14:textId="77777777" w:rsidR="00EB47F0" w:rsidRDefault="00000000">
            <w:pPr>
              <w:spacing w:after="80"/>
              <w:jc w:val="center"/>
            </w:pPr>
            <w:r>
              <w:rPr>
                <w:rFonts w:ascii="Calibri" w:eastAsia="Calibri" w:hAnsi="Calibri" w:cs="Calibri"/>
                <w:b/>
                <w:bCs/>
                <w:color w:val="1F3864"/>
                <w:sz w:val="24"/>
                <w:szCs w:val="24"/>
              </w:rPr>
              <w:t>SWDA SOCIAL RISK POLICY STATEMENT</w:t>
            </w:r>
          </w:p>
          <w:p w14:paraId="56ECFDAF" w14:textId="77777777" w:rsidR="00EB47F0" w:rsidRDefault="00000000">
            <w:pPr>
              <w:spacing w:after="100"/>
              <w:jc w:val="both"/>
            </w:pPr>
            <w:r>
              <w:rPr>
                <w:rFonts w:ascii="Calibri" w:eastAsia="Calibri" w:hAnsi="Calibri" w:cs="Calibri"/>
                <w:sz w:val="22"/>
                <w:szCs w:val="22"/>
              </w:rPr>
              <w:t>South West Design Africa Limited (SWDA) is committed to identifying, assessing and managing the social risk of its operations, and to engaging host communities and other stakeholders openly, respectfully and proactively. SWDA will not treat social risk as separate from HSE risk: it will be managed with the same discipline, the same escalation to senior management, and the same commitment to continuous improvement.</w:t>
            </w:r>
          </w:p>
          <w:p w14:paraId="5CCD16DD" w14:textId="77777777" w:rsidR="00EB47F0" w:rsidRDefault="00000000">
            <w:pPr>
              <w:spacing w:after="100"/>
              <w:jc w:val="both"/>
            </w:pPr>
            <w:r>
              <w:rPr>
                <w:rFonts w:ascii="Calibri" w:eastAsia="Calibri" w:hAnsi="Calibri" w:cs="Calibri"/>
                <w:sz w:val="22"/>
                <w:szCs w:val="22"/>
              </w:rPr>
              <w:t>SWDA designates MaryAnn as the Company's Social Risk Responsible Person for the RAEC 18-Tank ATC/NME Cleaning Project, with the authority and support needed to identify and manage social risk, operate the Grievance Channels, and escalate any High-risk matter directly to the Managing Director without delay.</w:t>
            </w:r>
          </w:p>
          <w:p w14:paraId="42F2F287" w14:textId="77777777" w:rsidR="00EB47F0" w:rsidRDefault="00000000">
            <w:pPr>
              <w:jc w:val="both"/>
            </w:pPr>
            <w:r>
              <w:rPr>
                <w:rFonts w:ascii="Calibri" w:eastAsia="Calibri" w:hAnsi="Calibri" w:cs="Calibri"/>
                <w:sz w:val="22"/>
                <w:szCs w:val="22"/>
              </w:rPr>
              <w:t>This Policy is endorsed by the Managing Director and applies to all SWDA Employees, Contractors and Subcontractors. It is implemented through the Procedure set out below, and through the SWDA Community Engagement &amp; Social Risk Management Procedure (Ref. SWDA-HSE-PROC-04.3.7) and the Social Responsibility Risk Management Procedure (Ref. SWDA-HSE-PROC-04.3.8).</w:t>
            </w:r>
          </w:p>
        </w:tc>
      </w:tr>
    </w:tbl>
    <w:p w14:paraId="33460092" w14:textId="40D45540" w:rsidR="00EB47F0" w:rsidRDefault="00FF33B0" w:rsidP="00FF33B0">
      <w:pPr>
        <w:pStyle w:val="Heading1"/>
        <w:spacing w:before="400" w:after="200"/>
      </w:pPr>
      <w:r>
        <w:rPr>
          <w:rFonts w:ascii="Calibri" w:eastAsia="Calibri" w:hAnsi="Calibri" w:cs="Calibri"/>
          <w:b/>
          <w:bCs/>
          <w:color w:val="1F3864"/>
          <w:sz w:val="28"/>
          <w:szCs w:val="28"/>
        </w:rPr>
        <w:t>1.0 PURPOSE</w:t>
      </w:r>
    </w:p>
    <w:p w14:paraId="1F909CFC" w14:textId="77777777" w:rsidR="00EB47F0" w:rsidRDefault="00000000">
      <w:pPr>
        <w:spacing w:after="140" w:line="276" w:lineRule="auto"/>
        <w:jc w:val="both"/>
      </w:pPr>
      <w:r>
        <w:rPr>
          <w:rFonts w:ascii="Calibri" w:eastAsia="Calibri" w:hAnsi="Calibri" w:cs="Calibri"/>
          <w:sz w:val="22"/>
          <w:szCs w:val="22"/>
        </w:rPr>
        <w:t xml:space="preserve">This Procedure </w:t>
      </w:r>
      <w:proofErr w:type="spellStart"/>
      <w:r>
        <w:rPr>
          <w:rFonts w:ascii="Calibri" w:eastAsia="Calibri" w:hAnsi="Calibri" w:cs="Calibri"/>
          <w:sz w:val="22"/>
          <w:szCs w:val="22"/>
        </w:rPr>
        <w:t>operationalises</w:t>
      </w:r>
      <w:proofErr w:type="spellEnd"/>
      <w:r>
        <w:rPr>
          <w:rFonts w:ascii="Calibri" w:eastAsia="Calibri" w:hAnsi="Calibri" w:cs="Calibri"/>
          <w:sz w:val="22"/>
          <w:szCs w:val="22"/>
        </w:rPr>
        <w:t xml:space="preserve"> the SWDA Social Risk Policy Statement above. It establishes how SWDA identifies, screens, mitigates, records and reports social risk on the RAEC 18-Tank ATC/NME Cleaning Project, and confirms MaryAnn as the named Social Risk Responsible Person accountable for its day-to-day operation.</w:t>
      </w:r>
    </w:p>
    <w:p w14:paraId="09E32F04" w14:textId="77777777" w:rsidR="00EB47F0" w:rsidRDefault="00000000">
      <w:pPr>
        <w:spacing w:after="140" w:line="276" w:lineRule="auto"/>
        <w:jc w:val="both"/>
      </w:pPr>
      <w:r>
        <w:rPr>
          <w:rFonts w:ascii="Calibri" w:eastAsia="Calibri" w:hAnsi="Calibri" w:cs="Calibri"/>
          <w:sz w:val="22"/>
          <w:szCs w:val="22"/>
        </w:rPr>
        <w:t>This Procedure is a focused companion to the fuller SWDA Community Engagement &amp; Social Risk Management Procedure (Ref. SWDA-HSE-PROC-04.3.7), which governs stakeholder mapping and engagement planning in detail, and the Social Responsibility Risk Management Procedure (Ref. SWDA-HSE-PROC-04.3.8), which sets out Grievance Channels and audit KPIs. Where this Procedure and those Procedures overlap, the fuller Procedures govern the detailed mechanics; this document establishes the Policy commitment and clear day-to-day ownership.</w:t>
      </w:r>
    </w:p>
    <w:p w14:paraId="6B8F5A28" w14:textId="77777777" w:rsidR="00EB47F0" w:rsidRDefault="00000000" w:rsidP="00FF33B0">
      <w:pPr>
        <w:pStyle w:val="Heading1"/>
        <w:spacing w:before="400" w:after="200"/>
      </w:pPr>
      <w:proofErr w:type="gramStart"/>
      <w:r>
        <w:rPr>
          <w:rFonts w:ascii="Calibri" w:eastAsia="Calibri" w:hAnsi="Calibri" w:cs="Calibri"/>
          <w:b/>
          <w:bCs/>
          <w:color w:val="1F3864"/>
          <w:sz w:val="28"/>
          <w:szCs w:val="28"/>
        </w:rPr>
        <w:t>2.0  SCOPE</w:t>
      </w:r>
      <w:proofErr w:type="gramEnd"/>
    </w:p>
    <w:p w14:paraId="7582A917" w14:textId="77777777" w:rsidR="00EB47F0" w:rsidRDefault="00000000">
      <w:pPr>
        <w:spacing w:after="140" w:line="276" w:lineRule="auto"/>
        <w:jc w:val="both"/>
      </w:pPr>
      <w:r>
        <w:rPr>
          <w:rFonts w:ascii="Calibri" w:eastAsia="Calibri" w:hAnsi="Calibri" w:cs="Calibri"/>
          <w:sz w:val="22"/>
          <w:szCs w:val="22"/>
        </w:rPr>
        <w:t>This Procedure applies to all social risk arising from SWDA's activities at any of the five (5) RAEC Project locations, or at any other SWDA operation, and to all SWDA Employees, Contractors and Subcontractors.</w:t>
      </w:r>
    </w:p>
    <w:p w14:paraId="309DBB3C" w14:textId="5C6C42E7" w:rsidR="00EB47F0" w:rsidRDefault="00FF33B0" w:rsidP="00FF33B0">
      <w:pPr>
        <w:pStyle w:val="Heading1"/>
        <w:spacing w:before="400" w:after="200"/>
      </w:pPr>
      <w:r>
        <w:rPr>
          <w:rFonts w:ascii="Calibri" w:eastAsia="Calibri" w:hAnsi="Calibri" w:cs="Calibri"/>
          <w:b/>
          <w:bCs/>
          <w:color w:val="1F3864"/>
          <w:sz w:val="28"/>
          <w:szCs w:val="28"/>
        </w:rPr>
        <w:lastRenderedPageBreak/>
        <w:t>3.0 DEFINITIONS</w:t>
      </w:r>
    </w:p>
    <w:p w14:paraId="2E24CB95" w14:textId="77777777" w:rsidR="00EB47F0" w:rsidRDefault="00000000">
      <w:pPr>
        <w:pStyle w:val="ListParagraph"/>
        <w:numPr>
          <w:ilvl w:val="0"/>
          <w:numId w:val="2"/>
        </w:numPr>
        <w:spacing w:after="90" w:line="276" w:lineRule="auto"/>
      </w:pPr>
      <w:r>
        <w:rPr>
          <w:rFonts w:ascii="Calibri" w:eastAsia="Calibri" w:hAnsi="Calibri" w:cs="Calibri"/>
          <w:sz w:val="22"/>
          <w:szCs w:val="22"/>
        </w:rPr>
        <w:t>Social Risk — the risk of an adverse operational, security or reputational outcome arising from SWDA's relationship with, or impact on, a community or stakeholder.</w:t>
      </w:r>
    </w:p>
    <w:p w14:paraId="54A2E45A" w14:textId="77777777" w:rsidR="00EB47F0" w:rsidRDefault="00000000">
      <w:pPr>
        <w:pStyle w:val="ListParagraph"/>
        <w:numPr>
          <w:ilvl w:val="0"/>
          <w:numId w:val="2"/>
        </w:numPr>
        <w:spacing w:after="90" w:line="276" w:lineRule="auto"/>
      </w:pPr>
      <w:r>
        <w:rPr>
          <w:rFonts w:ascii="Calibri" w:eastAsia="Calibri" w:hAnsi="Calibri" w:cs="Calibri"/>
          <w:sz w:val="22"/>
          <w:szCs w:val="22"/>
        </w:rPr>
        <w:t>Social Risk Responsible Person — the named individual accountable for the day-to-day identification, screening and management of social risk under this Procedure (Ref. Section 4).</w:t>
      </w:r>
    </w:p>
    <w:p w14:paraId="081F26A4" w14:textId="77777777" w:rsidR="00EB47F0" w:rsidRDefault="00000000">
      <w:pPr>
        <w:pStyle w:val="ListParagraph"/>
        <w:numPr>
          <w:ilvl w:val="0"/>
          <w:numId w:val="2"/>
        </w:numPr>
        <w:spacing w:after="90" w:line="276" w:lineRule="auto"/>
      </w:pPr>
      <w:r>
        <w:rPr>
          <w:rFonts w:ascii="Calibri" w:eastAsia="Calibri" w:hAnsi="Calibri" w:cs="Calibri"/>
          <w:sz w:val="22"/>
          <w:szCs w:val="22"/>
        </w:rPr>
        <w:t>Social Risk Register — the controlled record of identified social risks and their mitigation status (Ref. Section 7).</w:t>
      </w:r>
    </w:p>
    <w:p w14:paraId="2E1A222B" w14:textId="77777777" w:rsidR="00EB47F0" w:rsidRDefault="00000000">
      <w:pPr>
        <w:pStyle w:val="ListParagraph"/>
        <w:numPr>
          <w:ilvl w:val="0"/>
          <w:numId w:val="2"/>
        </w:numPr>
        <w:spacing w:after="90" w:line="276" w:lineRule="auto"/>
      </w:pPr>
      <w:r>
        <w:rPr>
          <w:rFonts w:ascii="Calibri" w:eastAsia="Calibri" w:hAnsi="Calibri" w:cs="Calibri"/>
          <w:sz w:val="22"/>
          <w:szCs w:val="22"/>
        </w:rPr>
        <w:t>CESRC — the Community Engagement &amp; Social Risk Committee described in the SWDA Community Engagement &amp; Social Risk Management Procedure (Ref. SWDA-HSE-PROC-04.3.7).</w:t>
      </w:r>
    </w:p>
    <w:p w14:paraId="3B9D9520" w14:textId="471BBF7D" w:rsidR="00EB47F0" w:rsidRDefault="00FF33B0" w:rsidP="00FF33B0">
      <w:pPr>
        <w:pStyle w:val="Heading1"/>
        <w:spacing w:before="400" w:after="200"/>
      </w:pPr>
      <w:r>
        <w:rPr>
          <w:rFonts w:ascii="Calibri" w:eastAsia="Calibri" w:hAnsi="Calibri" w:cs="Calibri"/>
          <w:b/>
          <w:bCs/>
          <w:color w:val="1F3864"/>
          <w:sz w:val="28"/>
          <w:szCs w:val="28"/>
        </w:rPr>
        <w:t>4.0 RESPONSIBILITIES</w:t>
      </w:r>
    </w:p>
    <w:p w14:paraId="276ECDBC" w14:textId="77777777" w:rsidR="00EB47F0" w:rsidRDefault="00000000">
      <w:pPr>
        <w:spacing w:after="140" w:line="276" w:lineRule="auto"/>
        <w:jc w:val="both"/>
      </w:pPr>
      <w:r>
        <w:rPr>
          <w:rFonts w:ascii="Calibri" w:eastAsia="Calibri" w:hAnsi="Calibri" w:cs="Calibri"/>
          <w:sz w:val="22"/>
          <w:szCs w:val="22"/>
        </w:rPr>
        <w:t xml:space="preserve">Roles and responsibilities for operating this Procedure are </w:t>
      </w:r>
      <w:proofErr w:type="spellStart"/>
      <w:r>
        <w:rPr>
          <w:rFonts w:ascii="Calibri" w:eastAsia="Calibri" w:hAnsi="Calibri" w:cs="Calibri"/>
          <w:sz w:val="22"/>
          <w:szCs w:val="22"/>
        </w:rPr>
        <w:t>summarised</w:t>
      </w:r>
      <w:proofErr w:type="spellEnd"/>
      <w:r>
        <w:rPr>
          <w:rFonts w:ascii="Calibri" w:eastAsia="Calibri" w:hAnsi="Calibri" w:cs="Calibri"/>
          <w:sz w:val="22"/>
          <w:szCs w:val="22"/>
        </w:rPr>
        <w:t xml:space="preserve"> below.</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50"/>
      </w:tblGrid>
      <w:tr w:rsidR="00EB47F0" w14:paraId="0E637799" w14:textId="77777777">
        <w:trPr>
          <w:tblHeader/>
        </w:trPr>
        <w:tc>
          <w:tcPr>
            <w:tcW w:w="2800" w:type="dxa"/>
            <w:shd w:val="clear" w:color="auto" w:fill="1F3864"/>
            <w:tcMar>
              <w:top w:w="80" w:type="dxa"/>
              <w:left w:w="100" w:type="dxa"/>
              <w:bottom w:w="80" w:type="dxa"/>
              <w:right w:w="100" w:type="dxa"/>
            </w:tcMar>
            <w:vAlign w:val="center"/>
          </w:tcPr>
          <w:p w14:paraId="60D7685B" w14:textId="77777777" w:rsidR="00EB47F0" w:rsidRDefault="00000000">
            <w:r>
              <w:rPr>
                <w:rFonts w:ascii="Calibri" w:eastAsia="Calibri" w:hAnsi="Calibri" w:cs="Calibri"/>
                <w:b/>
                <w:bCs/>
                <w:color w:val="FFFFFF"/>
              </w:rPr>
              <w:t>ROLE</w:t>
            </w:r>
          </w:p>
        </w:tc>
        <w:tc>
          <w:tcPr>
            <w:tcW w:w="6550" w:type="dxa"/>
            <w:shd w:val="clear" w:color="auto" w:fill="1F3864"/>
            <w:tcMar>
              <w:top w:w="80" w:type="dxa"/>
              <w:left w:w="100" w:type="dxa"/>
              <w:bottom w:w="80" w:type="dxa"/>
              <w:right w:w="100" w:type="dxa"/>
            </w:tcMar>
            <w:vAlign w:val="center"/>
          </w:tcPr>
          <w:p w14:paraId="42CB5AB4" w14:textId="77777777" w:rsidR="00EB47F0" w:rsidRDefault="00000000">
            <w:r>
              <w:rPr>
                <w:rFonts w:ascii="Calibri" w:eastAsia="Calibri" w:hAnsi="Calibri" w:cs="Calibri"/>
                <w:b/>
                <w:bCs/>
                <w:color w:val="FFFFFF"/>
              </w:rPr>
              <w:t>SOCIAL RISK RESPONSIBILITY</w:t>
            </w:r>
          </w:p>
        </w:tc>
      </w:tr>
      <w:tr w:rsidR="00EB47F0" w14:paraId="1994E8DA" w14:textId="77777777">
        <w:tc>
          <w:tcPr>
            <w:tcW w:w="2800" w:type="dxa"/>
            <w:shd w:val="clear" w:color="auto" w:fill="F2F2F2"/>
            <w:tcMar>
              <w:top w:w="80" w:type="dxa"/>
              <w:left w:w="100" w:type="dxa"/>
              <w:bottom w:w="80" w:type="dxa"/>
              <w:right w:w="100" w:type="dxa"/>
            </w:tcMar>
            <w:vAlign w:val="center"/>
          </w:tcPr>
          <w:p w14:paraId="18EFD1A5" w14:textId="77777777" w:rsidR="00EB47F0" w:rsidRDefault="00000000">
            <w:r>
              <w:rPr>
                <w:rFonts w:ascii="Calibri" w:eastAsia="Calibri" w:hAnsi="Calibri" w:cs="Calibri"/>
                <w:b/>
                <w:bCs/>
                <w:color w:val="000000"/>
              </w:rPr>
              <w:t>Managing Director (MD)</w:t>
            </w:r>
          </w:p>
        </w:tc>
        <w:tc>
          <w:tcPr>
            <w:tcW w:w="6550" w:type="dxa"/>
            <w:shd w:val="clear" w:color="auto" w:fill="F2F2F2"/>
            <w:tcMar>
              <w:top w:w="80" w:type="dxa"/>
              <w:left w:w="100" w:type="dxa"/>
              <w:bottom w:w="80" w:type="dxa"/>
              <w:right w:w="100" w:type="dxa"/>
            </w:tcMar>
            <w:vAlign w:val="center"/>
          </w:tcPr>
          <w:p w14:paraId="434A6F19" w14:textId="77777777" w:rsidR="00EB47F0" w:rsidRDefault="00000000">
            <w:r>
              <w:rPr>
                <w:rFonts w:ascii="Calibri" w:eastAsia="Calibri" w:hAnsi="Calibri" w:cs="Calibri"/>
                <w:color w:val="000000"/>
              </w:rPr>
              <w:t>Endorses this Policy &amp; Procedure; holds ultimate accountability for SWDA's management of social risk; approves the response to any High social risk on the recommendation of the Social Risk Responsible Person; ensures adequate resources are made available.</w:t>
            </w:r>
          </w:p>
        </w:tc>
      </w:tr>
      <w:tr w:rsidR="00EB47F0" w14:paraId="2AB15EE6" w14:textId="77777777">
        <w:tc>
          <w:tcPr>
            <w:tcW w:w="2800" w:type="dxa"/>
            <w:shd w:val="clear" w:color="auto" w:fill="FFFFFF"/>
            <w:tcMar>
              <w:top w:w="80" w:type="dxa"/>
              <w:left w:w="100" w:type="dxa"/>
              <w:bottom w:w="80" w:type="dxa"/>
              <w:right w:w="100" w:type="dxa"/>
            </w:tcMar>
            <w:vAlign w:val="center"/>
          </w:tcPr>
          <w:p w14:paraId="00B5B3B6" w14:textId="77777777" w:rsidR="00EB47F0" w:rsidRDefault="00000000">
            <w:r>
              <w:rPr>
                <w:rFonts w:ascii="Calibri" w:eastAsia="Calibri" w:hAnsi="Calibri" w:cs="Calibri"/>
                <w:b/>
                <w:bCs/>
                <w:color w:val="000000"/>
              </w:rPr>
              <w:t>Social Risk Responsible Person — MaryAnn (Community Liaison &amp; Social Risk Officer)</w:t>
            </w:r>
          </w:p>
        </w:tc>
        <w:tc>
          <w:tcPr>
            <w:tcW w:w="6550" w:type="dxa"/>
            <w:shd w:val="clear" w:color="auto" w:fill="FFFFFF"/>
            <w:tcMar>
              <w:top w:w="80" w:type="dxa"/>
              <w:left w:w="100" w:type="dxa"/>
              <w:bottom w:w="80" w:type="dxa"/>
              <w:right w:w="100" w:type="dxa"/>
            </w:tcMar>
            <w:vAlign w:val="center"/>
          </w:tcPr>
          <w:p w14:paraId="55BC0FA7" w14:textId="77777777" w:rsidR="00EB47F0" w:rsidRDefault="00000000">
            <w:r>
              <w:rPr>
                <w:rFonts w:ascii="Calibri" w:eastAsia="Calibri" w:hAnsi="Calibri" w:cs="Calibri"/>
                <w:color w:val="000000"/>
              </w:rPr>
              <w:t>Named owner of this Procedure and of day-to-day social risk management on the RAEC 18-Tank ATC/NME Cleaning Project. MaryAnn identifies, screens, and monitors social risk (Section 6); operates the Stakeholder Engagement Mechanisms and Grievance Channels; maintains the Social Risk Register (Section 7); and reports social risk status to the HSE Manager, the CESRC, and the Managing Director in line with Section 8.</w:t>
            </w:r>
          </w:p>
        </w:tc>
      </w:tr>
      <w:tr w:rsidR="00EB47F0" w14:paraId="7E6C5561" w14:textId="77777777">
        <w:tc>
          <w:tcPr>
            <w:tcW w:w="2800" w:type="dxa"/>
            <w:shd w:val="clear" w:color="auto" w:fill="F2F2F2"/>
            <w:tcMar>
              <w:top w:w="80" w:type="dxa"/>
              <w:left w:w="100" w:type="dxa"/>
              <w:bottom w:w="80" w:type="dxa"/>
              <w:right w:w="100" w:type="dxa"/>
            </w:tcMar>
            <w:vAlign w:val="center"/>
          </w:tcPr>
          <w:p w14:paraId="71926BB4" w14:textId="77777777" w:rsidR="00EB47F0" w:rsidRDefault="00000000">
            <w:r>
              <w:rPr>
                <w:rFonts w:ascii="Calibri" w:eastAsia="Calibri" w:hAnsi="Calibri" w:cs="Calibri"/>
                <w:b/>
                <w:bCs/>
                <w:color w:val="000000"/>
              </w:rPr>
              <w:t>HSE Manager / Management Representative</w:t>
            </w:r>
          </w:p>
        </w:tc>
        <w:tc>
          <w:tcPr>
            <w:tcW w:w="6550" w:type="dxa"/>
            <w:shd w:val="clear" w:color="auto" w:fill="F2F2F2"/>
            <w:tcMar>
              <w:top w:w="80" w:type="dxa"/>
              <w:left w:w="100" w:type="dxa"/>
              <w:bottom w:w="80" w:type="dxa"/>
              <w:right w:w="100" w:type="dxa"/>
            </w:tcMar>
            <w:vAlign w:val="center"/>
          </w:tcPr>
          <w:p w14:paraId="193AC38A" w14:textId="77777777" w:rsidR="00EB47F0" w:rsidRDefault="00000000">
            <w:r>
              <w:rPr>
                <w:rFonts w:ascii="Calibri" w:eastAsia="Calibri" w:hAnsi="Calibri" w:cs="Calibri"/>
                <w:color w:val="000000"/>
              </w:rPr>
              <w:t xml:space="preserve">Supports MaryAnn in integrating social risk into the wider HSE-MS; ensures social risk is included in the HSE Audit </w:t>
            </w:r>
            <w:proofErr w:type="spellStart"/>
            <w:r>
              <w:rPr>
                <w:rFonts w:ascii="Calibri" w:eastAsia="Calibri" w:hAnsi="Calibri" w:cs="Calibri"/>
                <w:color w:val="000000"/>
              </w:rPr>
              <w:t>Programme</w:t>
            </w:r>
            <w:proofErr w:type="spellEnd"/>
            <w:r>
              <w:rPr>
                <w:rFonts w:ascii="Calibri" w:eastAsia="Calibri" w:hAnsi="Calibri" w:cs="Calibri"/>
                <w:color w:val="000000"/>
              </w:rPr>
              <w:t xml:space="preserve"> (Ref. HSEP Sec. 4.7) and the annual HSE-MS System Review (Ref. HSEP Sec. 4.8).</w:t>
            </w:r>
          </w:p>
        </w:tc>
      </w:tr>
      <w:tr w:rsidR="00EB47F0" w14:paraId="45964440" w14:textId="77777777">
        <w:tc>
          <w:tcPr>
            <w:tcW w:w="2800" w:type="dxa"/>
            <w:shd w:val="clear" w:color="auto" w:fill="FFFFFF"/>
            <w:tcMar>
              <w:top w:w="80" w:type="dxa"/>
              <w:left w:w="100" w:type="dxa"/>
              <w:bottom w:w="80" w:type="dxa"/>
              <w:right w:w="100" w:type="dxa"/>
            </w:tcMar>
            <w:vAlign w:val="center"/>
          </w:tcPr>
          <w:p w14:paraId="1D1458AF" w14:textId="77777777" w:rsidR="00EB47F0" w:rsidRDefault="00000000">
            <w:r>
              <w:rPr>
                <w:rFonts w:ascii="Calibri" w:eastAsia="Calibri" w:hAnsi="Calibri" w:cs="Calibri"/>
                <w:b/>
                <w:bCs/>
                <w:color w:val="000000"/>
              </w:rPr>
              <w:t>Community Engagement &amp; Social Risk Committee (CESRC)</w:t>
            </w:r>
          </w:p>
        </w:tc>
        <w:tc>
          <w:tcPr>
            <w:tcW w:w="6550" w:type="dxa"/>
            <w:shd w:val="clear" w:color="auto" w:fill="FFFFFF"/>
            <w:tcMar>
              <w:top w:w="80" w:type="dxa"/>
              <w:left w:w="100" w:type="dxa"/>
              <w:bottom w:w="80" w:type="dxa"/>
              <w:right w:w="100" w:type="dxa"/>
            </w:tcMar>
            <w:vAlign w:val="center"/>
          </w:tcPr>
          <w:p w14:paraId="309B0186" w14:textId="77777777" w:rsidR="00EB47F0" w:rsidRDefault="00000000">
            <w:r>
              <w:rPr>
                <w:rFonts w:ascii="Calibri" w:eastAsia="Calibri" w:hAnsi="Calibri" w:cs="Calibri"/>
                <w:color w:val="000000"/>
              </w:rPr>
              <w:t>Reviews the Social Risk Register with MaryAnn at least quarterly; agrees mitigation actions for Medium-risk items; recommends High-risk items to the MD.</w:t>
            </w:r>
          </w:p>
        </w:tc>
      </w:tr>
      <w:tr w:rsidR="00EB47F0" w14:paraId="57D13987" w14:textId="77777777">
        <w:tc>
          <w:tcPr>
            <w:tcW w:w="2800" w:type="dxa"/>
            <w:shd w:val="clear" w:color="auto" w:fill="F2F2F2"/>
            <w:tcMar>
              <w:top w:w="80" w:type="dxa"/>
              <w:left w:w="100" w:type="dxa"/>
              <w:bottom w:w="80" w:type="dxa"/>
              <w:right w:w="100" w:type="dxa"/>
            </w:tcMar>
            <w:vAlign w:val="center"/>
          </w:tcPr>
          <w:p w14:paraId="30C52B89" w14:textId="77777777" w:rsidR="00EB47F0" w:rsidRDefault="00000000">
            <w:r>
              <w:rPr>
                <w:rFonts w:ascii="Calibri" w:eastAsia="Calibri" w:hAnsi="Calibri" w:cs="Calibri"/>
                <w:b/>
                <w:bCs/>
                <w:color w:val="000000"/>
              </w:rPr>
              <w:t>Project / Site Managers &amp; Supervisors</w:t>
            </w:r>
          </w:p>
        </w:tc>
        <w:tc>
          <w:tcPr>
            <w:tcW w:w="6550" w:type="dxa"/>
            <w:shd w:val="clear" w:color="auto" w:fill="F2F2F2"/>
            <w:tcMar>
              <w:top w:w="80" w:type="dxa"/>
              <w:left w:w="100" w:type="dxa"/>
              <w:bottom w:w="80" w:type="dxa"/>
              <w:right w:w="100" w:type="dxa"/>
            </w:tcMar>
            <w:vAlign w:val="center"/>
          </w:tcPr>
          <w:p w14:paraId="1723E9E8" w14:textId="77777777" w:rsidR="00EB47F0" w:rsidRDefault="00000000">
            <w:r>
              <w:rPr>
                <w:rFonts w:ascii="Calibri" w:eastAsia="Calibri" w:hAnsi="Calibri" w:cs="Calibri"/>
                <w:color w:val="000000"/>
              </w:rPr>
              <w:t>Support MaryAnn by reporting social risk indicators from site level without delay, and by implementing agreed mitigation actions within their area.</w:t>
            </w:r>
          </w:p>
        </w:tc>
      </w:tr>
      <w:tr w:rsidR="00EB47F0" w14:paraId="2A18A941" w14:textId="77777777">
        <w:tc>
          <w:tcPr>
            <w:tcW w:w="2800" w:type="dxa"/>
            <w:shd w:val="clear" w:color="auto" w:fill="FFFFFF"/>
            <w:tcMar>
              <w:top w:w="80" w:type="dxa"/>
              <w:left w:w="100" w:type="dxa"/>
              <w:bottom w:w="80" w:type="dxa"/>
              <w:right w:w="100" w:type="dxa"/>
            </w:tcMar>
            <w:vAlign w:val="center"/>
          </w:tcPr>
          <w:p w14:paraId="1098DE7E" w14:textId="77777777" w:rsidR="00EB47F0" w:rsidRDefault="00000000">
            <w:r>
              <w:rPr>
                <w:rFonts w:ascii="Calibri" w:eastAsia="Calibri" w:hAnsi="Calibri" w:cs="Calibri"/>
                <w:b/>
                <w:bCs/>
                <w:color w:val="000000"/>
              </w:rPr>
              <w:t>All Employees &amp; Contractors/Subcontractors</w:t>
            </w:r>
          </w:p>
        </w:tc>
        <w:tc>
          <w:tcPr>
            <w:tcW w:w="6550" w:type="dxa"/>
            <w:shd w:val="clear" w:color="auto" w:fill="FFFFFF"/>
            <w:tcMar>
              <w:top w:w="80" w:type="dxa"/>
              <w:left w:w="100" w:type="dxa"/>
              <w:bottom w:w="80" w:type="dxa"/>
              <w:right w:w="100" w:type="dxa"/>
            </w:tcMar>
            <w:vAlign w:val="center"/>
          </w:tcPr>
          <w:p w14:paraId="539C3135" w14:textId="77777777" w:rsidR="00EB47F0" w:rsidRDefault="00000000">
            <w:r>
              <w:rPr>
                <w:rFonts w:ascii="Calibri" w:eastAsia="Calibri" w:hAnsi="Calibri" w:cs="Calibri"/>
                <w:color w:val="000000"/>
              </w:rPr>
              <w:t>Engage host communities and stakeholders respectfully; report any community concern, tension or potential social risk to MaryAnn or their Supervisor without delay.</w:t>
            </w:r>
          </w:p>
        </w:tc>
      </w:tr>
    </w:tbl>
    <w:p w14:paraId="6BB319C1" w14:textId="77777777" w:rsidR="00FF33B0" w:rsidRDefault="00FF33B0" w:rsidP="00FF33B0">
      <w:pPr>
        <w:pStyle w:val="Heading1"/>
        <w:spacing w:before="400" w:after="200"/>
        <w:rPr>
          <w:rFonts w:ascii="Calibri" w:eastAsia="Calibri" w:hAnsi="Calibri" w:cs="Calibri"/>
          <w:b/>
          <w:bCs/>
          <w:color w:val="1F3864"/>
          <w:sz w:val="28"/>
          <w:szCs w:val="28"/>
        </w:rPr>
      </w:pPr>
    </w:p>
    <w:p w14:paraId="1D592CD6" w14:textId="77777777" w:rsidR="00FF33B0" w:rsidRDefault="00FF33B0" w:rsidP="00FF33B0">
      <w:pPr>
        <w:pStyle w:val="Heading1"/>
        <w:spacing w:before="400" w:after="200"/>
        <w:rPr>
          <w:rFonts w:ascii="Calibri" w:eastAsia="Calibri" w:hAnsi="Calibri" w:cs="Calibri"/>
          <w:b/>
          <w:bCs/>
          <w:color w:val="1F3864"/>
          <w:sz w:val="28"/>
          <w:szCs w:val="28"/>
        </w:rPr>
      </w:pPr>
    </w:p>
    <w:p w14:paraId="542A721C" w14:textId="77777777" w:rsidR="00FF33B0" w:rsidRDefault="00FF33B0" w:rsidP="00FF33B0">
      <w:pPr>
        <w:pStyle w:val="Heading1"/>
        <w:spacing w:before="400" w:after="200"/>
        <w:rPr>
          <w:rFonts w:ascii="Calibri" w:eastAsia="Calibri" w:hAnsi="Calibri" w:cs="Calibri"/>
          <w:b/>
          <w:bCs/>
          <w:color w:val="1F3864"/>
          <w:sz w:val="28"/>
          <w:szCs w:val="28"/>
        </w:rPr>
      </w:pPr>
    </w:p>
    <w:p w14:paraId="0F21E4C7" w14:textId="0119C1BF" w:rsidR="00EB47F0" w:rsidRDefault="00FF33B0" w:rsidP="00FF33B0">
      <w:pPr>
        <w:pStyle w:val="Heading1"/>
        <w:spacing w:before="400" w:after="200"/>
      </w:pPr>
      <w:r>
        <w:rPr>
          <w:rFonts w:ascii="Calibri" w:eastAsia="Calibri" w:hAnsi="Calibri" w:cs="Calibri"/>
          <w:b/>
          <w:bCs/>
          <w:color w:val="1F3864"/>
          <w:sz w:val="28"/>
          <w:szCs w:val="28"/>
        </w:rPr>
        <w:t>5.0 SOCIAL</w:t>
      </w:r>
      <w:r w:rsidR="00000000">
        <w:rPr>
          <w:rFonts w:ascii="Calibri" w:eastAsia="Calibri" w:hAnsi="Calibri" w:cs="Calibri"/>
          <w:b/>
          <w:bCs/>
          <w:color w:val="1F3864"/>
          <w:sz w:val="28"/>
          <w:szCs w:val="28"/>
        </w:rPr>
        <w:t xml:space="preserve"> RISK CATEGORIES</w:t>
      </w:r>
    </w:p>
    <w:p w14:paraId="225268AE" w14:textId="77777777" w:rsidR="00EB47F0" w:rsidRDefault="00000000">
      <w:pPr>
        <w:spacing w:after="140" w:line="276" w:lineRule="auto"/>
        <w:jc w:val="both"/>
      </w:pPr>
      <w:r>
        <w:rPr>
          <w:rFonts w:ascii="Calibri" w:eastAsia="Calibri" w:hAnsi="Calibri" w:cs="Calibri"/>
          <w:sz w:val="22"/>
          <w:szCs w:val="22"/>
        </w:rPr>
        <w:t>MaryAnn screens and manages social risk against the following categories. A single issue may present risk in more than one category, in which case the highest applicable Risk Level governs.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50"/>
      </w:tblGrid>
      <w:tr w:rsidR="00EB47F0" w14:paraId="219C3CCD" w14:textId="77777777">
        <w:trPr>
          <w:tblHeader/>
        </w:trPr>
        <w:tc>
          <w:tcPr>
            <w:tcW w:w="2400" w:type="dxa"/>
            <w:shd w:val="clear" w:color="auto" w:fill="1F3864"/>
            <w:tcMar>
              <w:top w:w="80" w:type="dxa"/>
              <w:left w:w="100" w:type="dxa"/>
              <w:bottom w:w="80" w:type="dxa"/>
              <w:right w:w="100" w:type="dxa"/>
            </w:tcMar>
            <w:vAlign w:val="center"/>
          </w:tcPr>
          <w:p w14:paraId="4E86B280" w14:textId="77777777" w:rsidR="00EB47F0" w:rsidRDefault="00000000">
            <w:r>
              <w:rPr>
                <w:rFonts w:ascii="Calibri" w:eastAsia="Calibri" w:hAnsi="Calibri" w:cs="Calibri"/>
                <w:b/>
                <w:bCs/>
                <w:color w:val="FFFFFF"/>
              </w:rPr>
              <w:t>SOCIAL RISK CATEGORY</w:t>
            </w:r>
          </w:p>
        </w:tc>
        <w:tc>
          <w:tcPr>
            <w:tcW w:w="6950" w:type="dxa"/>
            <w:shd w:val="clear" w:color="auto" w:fill="1F3864"/>
            <w:tcMar>
              <w:top w:w="80" w:type="dxa"/>
              <w:left w:w="100" w:type="dxa"/>
              <w:bottom w:w="80" w:type="dxa"/>
              <w:right w:w="100" w:type="dxa"/>
            </w:tcMar>
            <w:vAlign w:val="center"/>
          </w:tcPr>
          <w:p w14:paraId="207AC9CB" w14:textId="77777777" w:rsidR="00EB47F0" w:rsidRDefault="00000000">
            <w:r>
              <w:rPr>
                <w:rFonts w:ascii="Calibri" w:eastAsia="Calibri" w:hAnsi="Calibri" w:cs="Calibri"/>
                <w:b/>
                <w:bCs/>
                <w:color w:val="FFFFFF"/>
              </w:rPr>
              <w:t>ILLUSTRATIVE EXAMPLES (NOT EXHAUSTIVE)</w:t>
            </w:r>
          </w:p>
        </w:tc>
      </w:tr>
      <w:tr w:rsidR="00EB47F0" w14:paraId="3B483B39" w14:textId="77777777">
        <w:tc>
          <w:tcPr>
            <w:tcW w:w="2400" w:type="dxa"/>
            <w:shd w:val="clear" w:color="auto" w:fill="F2F2F2"/>
            <w:tcMar>
              <w:top w:w="80" w:type="dxa"/>
              <w:left w:w="100" w:type="dxa"/>
              <w:bottom w:w="80" w:type="dxa"/>
              <w:right w:w="100" w:type="dxa"/>
            </w:tcMar>
            <w:vAlign w:val="center"/>
          </w:tcPr>
          <w:p w14:paraId="01D545F7" w14:textId="77777777" w:rsidR="00EB47F0" w:rsidRDefault="00000000">
            <w:r>
              <w:rPr>
                <w:rFonts w:ascii="Calibri" w:eastAsia="Calibri" w:hAnsi="Calibri" w:cs="Calibri"/>
                <w:b/>
                <w:bCs/>
                <w:color w:val="000000"/>
              </w:rPr>
              <w:t>Community Relations / Reputational</w:t>
            </w:r>
          </w:p>
        </w:tc>
        <w:tc>
          <w:tcPr>
            <w:tcW w:w="6950" w:type="dxa"/>
            <w:shd w:val="clear" w:color="auto" w:fill="F2F2F2"/>
            <w:tcMar>
              <w:top w:w="80" w:type="dxa"/>
              <w:left w:w="100" w:type="dxa"/>
              <w:bottom w:w="80" w:type="dxa"/>
              <w:right w:w="100" w:type="dxa"/>
            </w:tcMar>
            <w:vAlign w:val="center"/>
          </w:tcPr>
          <w:p w14:paraId="6DE9BEC3" w14:textId="77777777" w:rsidR="00EB47F0" w:rsidRDefault="00000000">
            <w:r>
              <w:rPr>
                <w:rFonts w:ascii="Calibri" w:eastAsia="Calibri" w:hAnsi="Calibri" w:cs="Calibri"/>
                <w:color w:val="000000"/>
              </w:rPr>
              <w:t>Unmet or poorly communicated expectations regarding local employment, contracts or community development commitments.</w:t>
            </w:r>
          </w:p>
        </w:tc>
      </w:tr>
      <w:tr w:rsidR="00EB47F0" w14:paraId="6E6B7ACC" w14:textId="77777777">
        <w:tc>
          <w:tcPr>
            <w:tcW w:w="2400" w:type="dxa"/>
            <w:shd w:val="clear" w:color="auto" w:fill="FFFFFF"/>
            <w:tcMar>
              <w:top w:w="80" w:type="dxa"/>
              <w:left w:w="100" w:type="dxa"/>
              <w:bottom w:w="80" w:type="dxa"/>
              <w:right w:w="100" w:type="dxa"/>
            </w:tcMar>
            <w:vAlign w:val="center"/>
          </w:tcPr>
          <w:p w14:paraId="5D14D857" w14:textId="77777777" w:rsidR="00EB47F0" w:rsidRDefault="00000000">
            <w:r>
              <w:rPr>
                <w:rFonts w:ascii="Calibri" w:eastAsia="Calibri" w:hAnsi="Calibri" w:cs="Calibri"/>
                <w:b/>
                <w:bCs/>
                <w:color w:val="000000"/>
              </w:rPr>
              <w:t>Operational Disruption</w:t>
            </w:r>
          </w:p>
        </w:tc>
        <w:tc>
          <w:tcPr>
            <w:tcW w:w="6950" w:type="dxa"/>
            <w:shd w:val="clear" w:color="auto" w:fill="FFFFFF"/>
            <w:tcMar>
              <w:top w:w="80" w:type="dxa"/>
              <w:left w:w="100" w:type="dxa"/>
              <w:bottom w:w="80" w:type="dxa"/>
              <w:right w:w="100" w:type="dxa"/>
            </w:tcMar>
            <w:vAlign w:val="center"/>
          </w:tcPr>
          <w:p w14:paraId="03BC6B42" w14:textId="77777777" w:rsidR="00EB47F0" w:rsidRDefault="00000000">
            <w:r>
              <w:rPr>
                <w:rFonts w:ascii="Calibri" w:eastAsia="Calibri" w:hAnsi="Calibri" w:cs="Calibri"/>
                <w:color w:val="000000"/>
              </w:rPr>
              <w:t xml:space="preserve">Community protest, road/waterway blockade, or work stoppage affecting Tank Site access or </w:t>
            </w:r>
            <w:proofErr w:type="spellStart"/>
            <w:r>
              <w:rPr>
                <w:rFonts w:ascii="Calibri" w:eastAsia="Calibri" w:hAnsi="Calibri" w:cs="Calibri"/>
                <w:color w:val="000000"/>
              </w:rPr>
              <w:t>mobilisation</w:t>
            </w:r>
            <w:proofErr w:type="spellEnd"/>
            <w:r>
              <w:rPr>
                <w:rFonts w:ascii="Calibri" w:eastAsia="Calibri" w:hAnsi="Calibri" w:cs="Calibri"/>
                <w:color w:val="000000"/>
              </w:rPr>
              <w:t xml:space="preserve"> schedules.</w:t>
            </w:r>
          </w:p>
        </w:tc>
      </w:tr>
      <w:tr w:rsidR="00EB47F0" w14:paraId="43B757A0" w14:textId="77777777">
        <w:tc>
          <w:tcPr>
            <w:tcW w:w="2400" w:type="dxa"/>
            <w:shd w:val="clear" w:color="auto" w:fill="F2F2F2"/>
            <w:tcMar>
              <w:top w:w="80" w:type="dxa"/>
              <w:left w:w="100" w:type="dxa"/>
              <w:bottom w:w="80" w:type="dxa"/>
              <w:right w:w="100" w:type="dxa"/>
            </w:tcMar>
            <w:vAlign w:val="center"/>
          </w:tcPr>
          <w:p w14:paraId="2C52CA50" w14:textId="77777777" w:rsidR="00EB47F0" w:rsidRDefault="00000000">
            <w:r>
              <w:rPr>
                <w:rFonts w:ascii="Calibri" w:eastAsia="Calibri" w:hAnsi="Calibri" w:cs="Calibri"/>
                <w:b/>
                <w:bCs/>
                <w:color w:val="000000"/>
              </w:rPr>
              <w:t>Security &amp; Civil Unrest</w:t>
            </w:r>
          </w:p>
        </w:tc>
        <w:tc>
          <w:tcPr>
            <w:tcW w:w="6950" w:type="dxa"/>
            <w:shd w:val="clear" w:color="auto" w:fill="F2F2F2"/>
            <w:tcMar>
              <w:top w:w="80" w:type="dxa"/>
              <w:left w:w="100" w:type="dxa"/>
              <w:bottom w:w="80" w:type="dxa"/>
              <w:right w:w="100" w:type="dxa"/>
            </w:tcMar>
            <w:vAlign w:val="center"/>
          </w:tcPr>
          <w:p w14:paraId="7F282F9B" w14:textId="77777777" w:rsidR="00EB47F0" w:rsidRDefault="00000000">
            <w:r>
              <w:rPr>
                <w:rFonts w:ascii="Calibri" w:eastAsia="Calibri" w:hAnsi="Calibri" w:cs="Calibri"/>
                <w:color w:val="000000"/>
              </w:rPr>
              <w:t>Escalation of a community grievance into confrontation with Project personnel or security.</w:t>
            </w:r>
          </w:p>
        </w:tc>
      </w:tr>
      <w:tr w:rsidR="00EB47F0" w14:paraId="7E143676" w14:textId="77777777">
        <w:tc>
          <w:tcPr>
            <w:tcW w:w="2400" w:type="dxa"/>
            <w:shd w:val="clear" w:color="auto" w:fill="FFFFFF"/>
            <w:tcMar>
              <w:top w:w="80" w:type="dxa"/>
              <w:left w:w="100" w:type="dxa"/>
              <w:bottom w:w="80" w:type="dxa"/>
              <w:right w:w="100" w:type="dxa"/>
            </w:tcMar>
            <w:vAlign w:val="center"/>
          </w:tcPr>
          <w:p w14:paraId="6BA97AF3" w14:textId="77777777" w:rsidR="00EB47F0" w:rsidRDefault="00000000">
            <w:r>
              <w:rPr>
                <w:rFonts w:ascii="Calibri" w:eastAsia="Calibri" w:hAnsi="Calibri" w:cs="Calibri"/>
                <w:b/>
                <w:bCs/>
                <w:color w:val="000000"/>
              </w:rPr>
              <w:t>Land &amp; Asset Disputes</w:t>
            </w:r>
          </w:p>
        </w:tc>
        <w:tc>
          <w:tcPr>
            <w:tcW w:w="6950" w:type="dxa"/>
            <w:shd w:val="clear" w:color="auto" w:fill="FFFFFF"/>
            <w:tcMar>
              <w:top w:w="80" w:type="dxa"/>
              <w:left w:w="100" w:type="dxa"/>
              <w:bottom w:w="80" w:type="dxa"/>
              <w:right w:w="100" w:type="dxa"/>
            </w:tcMar>
            <w:vAlign w:val="center"/>
          </w:tcPr>
          <w:p w14:paraId="5FDEB6B5" w14:textId="77777777" w:rsidR="00EB47F0" w:rsidRDefault="00000000">
            <w:r>
              <w:rPr>
                <w:rFonts w:ascii="Calibri" w:eastAsia="Calibri" w:hAnsi="Calibri" w:cs="Calibri"/>
                <w:color w:val="000000"/>
              </w:rPr>
              <w:t>Competing claims over land, waterway access or compensation.</w:t>
            </w:r>
          </w:p>
        </w:tc>
      </w:tr>
      <w:tr w:rsidR="00EB47F0" w14:paraId="601F44D9" w14:textId="77777777">
        <w:tc>
          <w:tcPr>
            <w:tcW w:w="2400" w:type="dxa"/>
            <w:shd w:val="clear" w:color="auto" w:fill="F2F2F2"/>
            <w:tcMar>
              <w:top w:w="80" w:type="dxa"/>
              <w:left w:w="100" w:type="dxa"/>
              <w:bottom w:w="80" w:type="dxa"/>
              <w:right w:w="100" w:type="dxa"/>
            </w:tcMar>
            <w:vAlign w:val="center"/>
          </w:tcPr>
          <w:p w14:paraId="687A3E9B" w14:textId="77777777" w:rsidR="00EB47F0" w:rsidRDefault="00000000">
            <w:r>
              <w:rPr>
                <w:rFonts w:ascii="Calibri" w:eastAsia="Calibri" w:hAnsi="Calibri" w:cs="Calibri"/>
                <w:b/>
                <w:bCs/>
                <w:color w:val="000000"/>
              </w:rPr>
              <w:t xml:space="preserve">Local Content &amp; </w:t>
            </w:r>
            <w:proofErr w:type="spellStart"/>
            <w:r>
              <w:rPr>
                <w:rFonts w:ascii="Calibri" w:eastAsia="Calibri" w:hAnsi="Calibri" w:cs="Calibri"/>
                <w:b/>
                <w:bCs/>
                <w:color w:val="000000"/>
              </w:rPr>
              <w:t>Labour</w:t>
            </w:r>
            <w:proofErr w:type="spellEnd"/>
            <w:r>
              <w:rPr>
                <w:rFonts w:ascii="Calibri" w:eastAsia="Calibri" w:hAnsi="Calibri" w:cs="Calibri"/>
                <w:b/>
                <w:bCs/>
                <w:color w:val="000000"/>
              </w:rPr>
              <w:t xml:space="preserve"> Disputes</w:t>
            </w:r>
          </w:p>
        </w:tc>
        <w:tc>
          <w:tcPr>
            <w:tcW w:w="6950" w:type="dxa"/>
            <w:shd w:val="clear" w:color="auto" w:fill="F2F2F2"/>
            <w:tcMar>
              <w:top w:w="80" w:type="dxa"/>
              <w:left w:w="100" w:type="dxa"/>
              <w:bottom w:w="80" w:type="dxa"/>
              <w:right w:w="100" w:type="dxa"/>
            </w:tcMar>
            <w:vAlign w:val="center"/>
          </w:tcPr>
          <w:p w14:paraId="34C0B652" w14:textId="77777777" w:rsidR="00EB47F0" w:rsidRDefault="00000000">
            <w:r>
              <w:rPr>
                <w:rFonts w:ascii="Calibri" w:eastAsia="Calibri" w:hAnsi="Calibri" w:cs="Calibri"/>
                <w:color w:val="000000"/>
              </w:rPr>
              <w:t>Disputes over local recruitment, wages, or use of local Subcontractors and suppliers.</w:t>
            </w:r>
          </w:p>
        </w:tc>
      </w:tr>
      <w:tr w:rsidR="00EB47F0" w14:paraId="5393C476" w14:textId="77777777">
        <w:tc>
          <w:tcPr>
            <w:tcW w:w="2400" w:type="dxa"/>
            <w:shd w:val="clear" w:color="auto" w:fill="FFFFFF"/>
            <w:tcMar>
              <w:top w:w="80" w:type="dxa"/>
              <w:left w:w="100" w:type="dxa"/>
              <w:bottom w:w="80" w:type="dxa"/>
              <w:right w:w="100" w:type="dxa"/>
            </w:tcMar>
            <w:vAlign w:val="center"/>
          </w:tcPr>
          <w:p w14:paraId="2AA1299A" w14:textId="77777777" w:rsidR="00EB47F0" w:rsidRDefault="00000000">
            <w:r>
              <w:rPr>
                <w:rFonts w:ascii="Calibri" w:eastAsia="Calibri" w:hAnsi="Calibri" w:cs="Calibri"/>
                <w:b/>
                <w:bCs/>
                <w:color w:val="000000"/>
              </w:rPr>
              <w:t>Cultural / Social Sensitivity</w:t>
            </w:r>
          </w:p>
        </w:tc>
        <w:tc>
          <w:tcPr>
            <w:tcW w:w="6950" w:type="dxa"/>
            <w:shd w:val="clear" w:color="auto" w:fill="FFFFFF"/>
            <w:tcMar>
              <w:top w:w="80" w:type="dxa"/>
              <w:left w:w="100" w:type="dxa"/>
              <w:bottom w:w="80" w:type="dxa"/>
              <w:right w:w="100" w:type="dxa"/>
            </w:tcMar>
            <w:vAlign w:val="center"/>
          </w:tcPr>
          <w:p w14:paraId="03C5BA96" w14:textId="77777777" w:rsidR="00EB47F0" w:rsidRDefault="00000000">
            <w:r>
              <w:rPr>
                <w:rFonts w:ascii="Calibri" w:eastAsia="Calibri" w:hAnsi="Calibri" w:cs="Calibri"/>
                <w:color w:val="000000"/>
              </w:rPr>
              <w:t>Actions perceived as disrespectful of local customs, cultural sites, or community norms.</w:t>
            </w:r>
          </w:p>
        </w:tc>
      </w:tr>
      <w:tr w:rsidR="00EB47F0" w14:paraId="0554879D" w14:textId="77777777">
        <w:tc>
          <w:tcPr>
            <w:tcW w:w="2400" w:type="dxa"/>
            <w:shd w:val="clear" w:color="auto" w:fill="F2F2F2"/>
            <w:tcMar>
              <w:top w:w="80" w:type="dxa"/>
              <w:left w:w="100" w:type="dxa"/>
              <w:bottom w:w="80" w:type="dxa"/>
              <w:right w:w="100" w:type="dxa"/>
            </w:tcMar>
            <w:vAlign w:val="center"/>
          </w:tcPr>
          <w:p w14:paraId="66E4D701" w14:textId="77777777" w:rsidR="00EB47F0" w:rsidRDefault="00000000">
            <w:r>
              <w:rPr>
                <w:rFonts w:ascii="Calibri" w:eastAsia="Calibri" w:hAnsi="Calibri" w:cs="Calibri"/>
                <w:b/>
                <w:bCs/>
                <w:color w:val="000000"/>
              </w:rPr>
              <w:t>Misinformation</w:t>
            </w:r>
          </w:p>
        </w:tc>
        <w:tc>
          <w:tcPr>
            <w:tcW w:w="6950" w:type="dxa"/>
            <w:shd w:val="clear" w:color="auto" w:fill="F2F2F2"/>
            <w:tcMar>
              <w:top w:w="80" w:type="dxa"/>
              <w:left w:w="100" w:type="dxa"/>
              <w:bottom w:w="80" w:type="dxa"/>
              <w:right w:w="100" w:type="dxa"/>
            </w:tcMar>
            <w:vAlign w:val="center"/>
          </w:tcPr>
          <w:p w14:paraId="74193008" w14:textId="77777777" w:rsidR="00EB47F0" w:rsidRDefault="00000000">
            <w:proofErr w:type="spellStart"/>
            <w:r>
              <w:rPr>
                <w:rFonts w:ascii="Calibri" w:eastAsia="Calibri" w:hAnsi="Calibri" w:cs="Calibri"/>
                <w:color w:val="000000"/>
              </w:rPr>
              <w:t>Rumours</w:t>
            </w:r>
            <w:proofErr w:type="spellEnd"/>
            <w:r>
              <w:rPr>
                <w:rFonts w:ascii="Calibri" w:eastAsia="Calibri" w:hAnsi="Calibri" w:cs="Calibri"/>
                <w:color w:val="000000"/>
              </w:rPr>
              <w:t xml:space="preserve"> or inaccurate information about Project activities circulating within host communities.</w:t>
            </w:r>
          </w:p>
        </w:tc>
      </w:tr>
    </w:tbl>
    <w:p w14:paraId="16E34A4F" w14:textId="409D4098" w:rsidR="00EB47F0" w:rsidRDefault="00345256" w:rsidP="00345256">
      <w:pPr>
        <w:pStyle w:val="Heading1"/>
        <w:spacing w:before="400" w:after="200"/>
      </w:pPr>
      <w:r>
        <w:rPr>
          <w:rFonts w:ascii="Calibri" w:eastAsia="Calibri" w:hAnsi="Calibri" w:cs="Calibri"/>
          <w:b/>
          <w:bCs/>
          <w:color w:val="1F3864"/>
          <w:sz w:val="28"/>
          <w:szCs w:val="28"/>
        </w:rPr>
        <w:t>6.0 RISK</w:t>
      </w:r>
      <w:r w:rsidR="00000000">
        <w:rPr>
          <w:rFonts w:ascii="Calibri" w:eastAsia="Calibri" w:hAnsi="Calibri" w:cs="Calibri"/>
          <w:b/>
          <w:bCs/>
          <w:color w:val="1F3864"/>
          <w:sz w:val="28"/>
          <w:szCs w:val="28"/>
        </w:rPr>
        <w:t xml:space="preserve"> SCREENING &amp; ESCALATION MATRIX</w:t>
      </w:r>
    </w:p>
    <w:p w14:paraId="28A67BFD" w14:textId="77777777" w:rsidR="00EB47F0" w:rsidRDefault="00000000">
      <w:pPr>
        <w:spacing w:after="140" w:line="276" w:lineRule="auto"/>
        <w:jc w:val="both"/>
      </w:pPr>
      <w:r>
        <w:rPr>
          <w:rFonts w:ascii="Calibri" w:eastAsia="Calibri" w:hAnsi="Calibri" w:cs="Calibri"/>
          <w:sz w:val="22"/>
          <w:szCs w:val="22"/>
        </w:rPr>
        <w:t>Every identified social risk is screened and assigned a Risk Level using the matrix below. Where there is doubt about the correct Risk Level, the higher level and its approval authority shall apply.</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
        <w:gridCol w:w="3399"/>
        <w:gridCol w:w="2350"/>
        <w:gridCol w:w="2699"/>
      </w:tblGrid>
      <w:tr w:rsidR="00EB47F0" w14:paraId="56BE4BEC" w14:textId="77777777">
        <w:trPr>
          <w:tblHeader/>
        </w:trPr>
        <w:tc>
          <w:tcPr>
            <w:tcW w:w="900" w:type="dxa"/>
            <w:shd w:val="clear" w:color="auto" w:fill="1F3864"/>
            <w:tcMar>
              <w:top w:w="80" w:type="dxa"/>
              <w:left w:w="100" w:type="dxa"/>
              <w:bottom w:w="80" w:type="dxa"/>
              <w:right w:w="100" w:type="dxa"/>
            </w:tcMar>
            <w:vAlign w:val="center"/>
          </w:tcPr>
          <w:p w14:paraId="15EF50BC" w14:textId="77777777" w:rsidR="00EB47F0" w:rsidRDefault="00000000">
            <w:pPr>
              <w:jc w:val="center"/>
            </w:pPr>
            <w:r>
              <w:rPr>
                <w:rFonts w:ascii="Calibri" w:eastAsia="Calibri" w:hAnsi="Calibri" w:cs="Calibri"/>
                <w:b/>
                <w:bCs/>
                <w:color w:val="FFFFFF"/>
              </w:rPr>
              <w:t>RISK LEVEL</w:t>
            </w:r>
          </w:p>
        </w:tc>
        <w:tc>
          <w:tcPr>
            <w:tcW w:w="3400" w:type="dxa"/>
            <w:shd w:val="clear" w:color="auto" w:fill="1F3864"/>
            <w:tcMar>
              <w:top w:w="80" w:type="dxa"/>
              <w:left w:w="100" w:type="dxa"/>
              <w:bottom w:w="80" w:type="dxa"/>
              <w:right w:w="100" w:type="dxa"/>
            </w:tcMar>
            <w:vAlign w:val="center"/>
          </w:tcPr>
          <w:p w14:paraId="18F8FC23" w14:textId="77777777" w:rsidR="00EB47F0" w:rsidRDefault="00000000">
            <w:r>
              <w:rPr>
                <w:rFonts w:ascii="Calibri" w:eastAsia="Calibri" w:hAnsi="Calibri" w:cs="Calibri"/>
                <w:b/>
                <w:bCs/>
                <w:color w:val="FFFFFF"/>
              </w:rPr>
              <w:t>SCREENING CRITERIA</w:t>
            </w:r>
          </w:p>
        </w:tc>
        <w:tc>
          <w:tcPr>
            <w:tcW w:w="2350" w:type="dxa"/>
            <w:shd w:val="clear" w:color="auto" w:fill="1F3864"/>
            <w:tcMar>
              <w:top w:w="80" w:type="dxa"/>
              <w:left w:w="100" w:type="dxa"/>
              <w:bottom w:w="80" w:type="dxa"/>
              <w:right w:w="100" w:type="dxa"/>
            </w:tcMar>
            <w:vAlign w:val="center"/>
          </w:tcPr>
          <w:p w14:paraId="22ED9B44" w14:textId="77777777" w:rsidR="00EB47F0" w:rsidRDefault="00000000">
            <w:r>
              <w:rPr>
                <w:rFonts w:ascii="Calibri" w:eastAsia="Calibri" w:hAnsi="Calibri" w:cs="Calibri"/>
                <w:b/>
                <w:bCs/>
                <w:color w:val="FFFFFF"/>
              </w:rPr>
              <w:t>APPROVAL / RESPONSE AUTHORITY</w:t>
            </w:r>
          </w:p>
        </w:tc>
        <w:tc>
          <w:tcPr>
            <w:tcW w:w="2700" w:type="dxa"/>
            <w:shd w:val="clear" w:color="auto" w:fill="1F3864"/>
            <w:tcMar>
              <w:top w:w="80" w:type="dxa"/>
              <w:left w:w="100" w:type="dxa"/>
              <w:bottom w:w="80" w:type="dxa"/>
              <w:right w:w="100" w:type="dxa"/>
            </w:tcMar>
            <w:vAlign w:val="center"/>
          </w:tcPr>
          <w:p w14:paraId="106A3D4C" w14:textId="77777777" w:rsidR="00EB47F0" w:rsidRDefault="00000000">
            <w:r>
              <w:rPr>
                <w:rFonts w:ascii="Calibri" w:eastAsia="Calibri" w:hAnsi="Calibri" w:cs="Calibri"/>
                <w:b/>
                <w:bCs/>
                <w:color w:val="FFFFFF"/>
              </w:rPr>
              <w:t>MINIMUM REQUIREMENTS</w:t>
            </w:r>
          </w:p>
        </w:tc>
      </w:tr>
      <w:tr w:rsidR="00EB47F0" w14:paraId="369EBC97" w14:textId="77777777">
        <w:tc>
          <w:tcPr>
            <w:tcW w:w="900" w:type="dxa"/>
            <w:shd w:val="clear" w:color="auto" w:fill="F2F2F2"/>
            <w:tcMar>
              <w:top w:w="80" w:type="dxa"/>
              <w:left w:w="100" w:type="dxa"/>
              <w:bottom w:w="80" w:type="dxa"/>
              <w:right w:w="100" w:type="dxa"/>
            </w:tcMar>
            <w:vAlign w:val="center"/>
          </w:tcPr>
          <w:p w14:paraId="5D73893B" w14:textId="77777777" w:rsidR="00EB47F0" w:rsidRDefault="00000000">
            <w:pPr>
              <w:jc w:val="center"/>
            </w:pPr>
            <w:r>
              <w:rPr>
                <w:rFonts w:ascii="Calibri" w:eastAsia="Calibri" w:hAnsi="Calibri" w:cs="Calibri"/>
                <w:b/>
                <w:bCs/>
                <w:color w:val="000000"/>
              </w:rPr>
              <w:t>Low</w:t>
            </w:r>
          </w:p>
        </w:tc>
        <w:tc>
          <w:tcPr>
            <w:tcW w:w="3400" w:type="dxa"/>
            <w:shd w:val="clear" w:color="auto" w:fill="F2F2F2"/>
            <w:tcMar>
              <w:top w:w="80" w:type="dxa"/>
              <w:left w:w="100" w:type="dxa"/>
              <w:bottom w:w="80" w:type="dxa"/>
              <w:right w:w="100" w:type="dxa"/>
            </w:tcMar>
            <w:vAlign w:val="center"/>
          </w:tcPr>
          <w:p w14:paraId="346476E0" w14:textId="77777777" w:rsidR="00EB47F0" w:rsidRDefault="00000000">
            <w:r>
              <w:rPr>
                <w:rFonts w:ascii="Calibri" w:eastAsia="Calibri" w:hAnsi="Calibri" w:cs="Calibri"/>
                <w:color w:val="000000"/>
              </w:rPr>
              <w:t>Isolated concern, low likelihood of escalation; no material operational, security or reputational implication.</w:t>
            </w:r>
          </w:p>
        </w:tc>
        <w:tc>
          <w:tcPr>
            <w:tcW w:w="2350" w:type="dxa"/>
            <w:shd w:val="clear" w:color="auto" w:fill="F2F2F2"/>
            <w:tcMar>
              <w:top w:w="80" w:type="dxa"/>
              <w:left w:w="100" w:type="dxa"/>
              <w:bottom w:w="80" w:type="dxa"/>
              <w:right w:w="100" w:type="dxa"/>
            </w:tcMar>
            <w:vAlign w:val="center"/>
          </w:tcPr>
          <w:p w14:paraId="0D312C12" w14:textId="77777777" w:rsidR="00EB47F0" w:rsidRDefault="00000000">
            <w:r>
              <w:rPr>
                <w:rFonts w:ascii="Calibri" w:eastAsia="Calibri" w:hAnsi="Calibri" w:cs="Calibri"/>
                <w:color w:val="000000"/>
              </w:rPr>
              <w:t>MaryAnn (Social Risk Responsible Person)</w:t>
            </w:r>
          </w:p>
        </w:tc>
        <w:tc>
          <w:tcPr>
            <w:tcW w:w="2700" w:type="dxa"/>
            <w:shd w:val="clear" w:color="auto" w:fill="F2F2F2"/>
            <w:tcMar>
              <w:top w:w="80" w:type="dxa"/>
              <w:left w:w="100" w:type="dxa"/>
              <w:bottom w:w="80" w:type="dxa"/>
              <w:right w:w="100" w:type="dxa"/>
            </w:tcMar>
            <w:vAlign w:val="center"/>
          </w:tcPr>
          <w:p w14:paraId="327466F6" w14:textId="77777777" w:rsidR="00EB47F0" w:rsidRDefault="00000000">
            <w:r>
              <w:rPr>
                <w:rFonts w:ascii="Calibri" w:eastAsia="Calibri" w:hAnsi="Calibri" w:cs="Calibri"/>
                <w:color w:val="000000"/>
              </w:rPr>
              <w:t>Address through routine engagement; log in Social Risk Register; monitor</w:t>
            </w:r>
          </w:p>
        </w:tc>
      </w:tr>
      <w:tr w:rsidR="00EB47F0" w14:paraId="03B3DD35" w14:textId="77777777">
        <w:tc>
          <w:tcPr>
            <w:tcW w:w="900" w:type="dxa"/>
            <w:shd w:val="clear" w:color="auto" w:fill="FFFFFF"/>
            <w:tcMar>
              <w:top w:w="80" w:type="dxa"/>
              <w:left w:w="100" w:type="dxa"/>
              <w:bottom w:w="80" w:type="dxa"/>
              <w:right w:w="100" w:type="dxa"/>
            </w:tcMar>
            <w:vAlign w:val="center"/>
          </w:tcPr>
          <w:p w14:paraId="02B5C2CD" w14:textId="77777777" w:rsidR="00EB47F0" w:rsidRDefault="00000000">
            <w:pPr>
              <w:jc w:val="center"/>
            </w:pPr>
            <w:r>
              <w:rPr>
                <w:rFonts w:ascii="Calibri" w:eastAsia="Calibri" w:hAnsi="Calibri" w:cs="Calibri"/>
                <w:b/>
                <w:bCs/>
                <w:color w:val="000000"/>
              </w:rPr>
              <w:t>Medium</w:t>
            </w:r>
          </w:p>
        </w:tc>
        <w:tc>
          <w:tcPr>
            <w:tcW w:w="3400" w:type="dxa"/>
            <w:shd w:val="clear" w:color="auto" w:fill="FFFFFF"/>
            <w:tcMar>
              <w:top w:w="80" w:type="dxa"/>
              <w:left w:w="100" w:type="dxa"/>
              <w:bottom w:w="80" w:type="dxa"/>
              <w:right w:w="100" w:type="dxa"/>
            </w:tcMar>
            <w:vAlign w:val="center"/>
          </w:tcPr>
          <w:p w14:paraId="11FEF310" w14:textId="77777777" w:rsidR="00EB47F0" w:rsidRDefault="00000000">
            <w:r>
              <w:rPr>
                <w:rFonts w:ascii="Calibri" w:eastAsia="Calibri" w:hAnsi="Calibri" w:cs="Calibri"/>
                <w:color w:val="000000"/>
              </w:rPr>
              <w:t xml:space="preserve">Moderate likelihood of escalation or recurrence; potential for short-term operational disruption or </w:t>
            </w:r>
            <w:proofErr w:type="spellStart"/>
            <w:r>
              <w:rPr>
                <w:rFonts w:ascii="Calibri" w:eastAsia="Calibri" w:hAnsi="Calibri" w:cs="Calibri"/>
                <w:color w:val="000000"/>
              </w:rPr>
              <w:t>localised</w:t>
            </w:r>
            <w:proofErr w:type="spellEnd"/>
            <w:r>
              <w:rPr>
                <w:rFonts w:ascii="Calibri" w:eastAsia="Calibri" w:hAnsi="Calibri" w:cs="Calibri"/>
                <w:color w:val="000000"/>
              </w:rPr>
              <w:t xml:space="preserve"> reputational effect.</w:t>
            </w:r>
          </w:p>
        </w:tc>
        <w:tc>
          <w:tcPr>
            <w:tcW w:w="2350" w:type="dxa"/>
            <w:shd w:val="clear" w:color="auto" w:fill="FFFFFF"/>
            <w:tcMar>
              <w:top w:w="80" w:type="dxa"/>
              <w:left w:w="100" w:type="dxa"/>
              <w:bottom w:w="80" w:type="dxa"/>
              <w:right w:w="100" w:type="dxa"/>
            </w:tcMar>
            <w:vAlign w:val="center"/>
          </w:tcPr>
          <w:p w14:paraId="7CBF7651" w14:textId="77777777" w:rsidR="00EB47F0" w:rsidRDefault="00000000">
            <w:r>
              <w:rPr>
                <w:rFonts w:ascii="Calibri" w:eastAsia="Calibri" w:hAnsi="Calibri" w:cs="Calibri"/>
                <w:color w:val="000000"/>
              </w:rPr>
              <w:t>MaryAnn, with CESRC review</w:t>
            </w:r>
          </w:p>
        </w:tc>
        <w:tc>
          <w:tcPr>
            <w:tcW w:w="2700" w:type="dxa"/>
            <w:shd w:val="clear" w:color="auto" w:fill="FFFFFF"/>
            <w:tcMar>
              <w:top w:w="80" w:type="dxa"/>
              <w:left w:w="100" w:type="dxa"/>
              <w:bottom w:w="80" w:type="dxa"/>
              <w:right w:w="100" w:type="dxa"/>
            </w:tcMar>
            <w:vAlign w:val="center"/>
          </w:tcPr>
          <w:p w14:paraId="582AF989" w14:textId="77777777" w:rsidR="00EB47F0" w:rsidRDefault="00000000">
            <w:r>
              <w:rPr>
                <w:rFonts w:ascii="Calibri" w:eastAsia="Calibri" w:hAnsi="Calibri" w:cs="Calibri"/>
                <w:color w:val="000000"/>
              </w:rPr>
              <w:t>Documented mitigation plan; increased engagement frequency; tracked to close-out</w:t>
            </w:r>
          </w:p>
        </w:tc>
      </w:tr>
      <w:tr w:rsidR="00EB47F0" w14:paraId="39A33332" w14:textId="77777777">
        <w:tc>
          <w:tcPr>
            <w:tcW w:w="900" w:type="dxa"/>
            <w:shd w:val="clear" w:color="auto" w:fill="F2F2F2"/>
            <w:tcMar>
              <w:top w:w="80" w:type="dxa"/>
              <w:left w:w="100" w:type="dxa"/>
              <w:bottom w:w="80" w:type="dxa"/>
              <w:right w:w="100" w:type="dxa"/>
            </w:tcMar>
            <w:vAlign w:val="center"/>
          </w:tcPr>
          <w:p w14:paraId="2639E4F7" w14:textId="77777777" w:rsidR="00EB47F0" w:rsidRDefault="00000000">
            <w:pPr>
              <w:jc w:val="center"/>
            </w:pPr>
            <w:r>
              <w:rPr>
                <w:rFonts w:ascii="Calibri" w:eastAsia="Calibri" w:hAnsi="Calibri" w:cs="Calibri"/>
                <w:b/>
                <w:bCs/>
                <w:color w:val="000000"/>
              </w:rPr>
              <w:t>High</w:t>
            </w:r>
          </w:p>
        </w:tc>
        <w:tc>
          <w:tcPr>
            <w:tcW w:w="3400" w:type="dxa"/>
            <w:shd w:val="clear" w:color="auto" w:fill="F2F2F2"/>
            <w:tcMar>
              <w:top w:w="80" w:type="dxa"/>
              <w:left w:w="100" w:type="dxa"/>
              <w:bottom w:w="80" w:type="dxa"/>
              <w:right w:w="100" w:type="dxa"/>
            </w:tcMar>
            <w:vAlign w:val="center"/>
          </w:tcPr>
          <w:p w14:paraId="16119FBD" w14:textId="77777777" w:rsidR="00EB47F0" w:rsidRDefault="00000000">
            <w:r>
              <w:rPr>
                <w:rFonts w:ascii="Calibri" w:eastAsia="Calibri" w:hAnsi="Calibri" w:cs="Calibri"/>
                <w:color w:val="000000"/>
              </w:rPr>
              <w:t>Significant likelihood of escalation to protest, blockade, security incident, or sustained reputational/regulatory exposure.</w:t>
            </w:r>
          </w:p>
        </w:tc>
        <w:tc>
          <w:tcPr>
            <w:tcW w:w="2350" w:type="dxa"/>
            <w:shd w:val="clear" w:color="auto" w:fill="F2F2F2"/>
            <w:tcMar>
              <w:top w:w="80" w:type="dxa"/>
              <w:left w:w="100" w:type="dxa"/>
              <w:bottom w:w="80" w:type="dxa"/>
              <w:right w:w="100" w:type="dxa"/>
            </w:tcMar>
            <w:vAlign w:val="center"/>
          </w:tcPr>
          <w:p w14:paraId="3D29DE7E" w14:textId="77777777" w:rsidR="00EB47F0" w:rsidRDefault="00000000">
            <w:r>
              <w:rPr>
                <w:rFonts w:ascii="Calibri" w:eastAsia="Calibri" w:hAnsi="Calibri" w:cs="Calibri"/>
                <w:color w:val="000000"/>
              </w:rPr>
              <w:t>MaryAnn's recommendation + Managing Director final approval</w:t>
            </w:r>
          </w:p>
        </w:tc>
        <w:tc>
          <w:tcPr>
            <w:tcW w:w="2700" w:type="dxa"/>
            <w:shd w:val="clear" w:color="auto" w:fill="F2F2F2"/>
            <w:tcMar>
              <w:top w:w="80" w:type="dxa"/>
              <w:left w:w="100" w:type="dxa"/>
              <w:bottom w:w="80" w:type="dxa"/>
              <w:right w:w="100" w:type="dxa"/>
            </w:tcMar>
            <w:vAlign w:val="center"/>
          </w:tcPr>
          <w:p w14:paraId="0A495088" w14:textId="77777777" w:rsidR="00EB47F0" w:rsidRDefault="00000000">
            <w:r>
              <w:rPr>
                <w:rFonts w:ascii="Calibri" w:eastAsia="Calibri" w:hAnsi="Calibri" w:cs="Calibri"/>
                <w:color w:val="000000"/>
              </w:rPr>
              <w:t>Full risk assessment and response plan; MD briefed and approval required before response is implemented</w:t>
            </w:r>
          </w:p>
        </w:tc>
      </w:tr>
    </w:tbl>
    <w:p w14:paraId="72DFFE93" w14:textId="77777777" w:rsidR="00FF33B0" w:rsidRDefault="00FF33B0" w:rsidP="00FF33B0">
      <w:pPr>
        <w:pStyle w:val="Heading1"/>
        <w:spacing w:before="400" w:after="200"/>
        <w:rPr>
          <w:rFonts w:ascii="Calibri" w:eastAsia="Calibri" w:hAnsi="Calibri" w:cs="Calibri"/>
          <w:b/>
          <w:bCs/>
          <w:color w:val="1F3864"/>
          <w:sz w:val="28"/>
          <w:szCs w:val="28"/>
        </w:rPr>
      </w:pPr>
    </w:p>
    <w:p w14:paraId="3B0A138A" w14:textId="77777777" w:rsidR="00FF33B0" w:rsidRDefault="00FF33B0" w:rsidP="00FF33B0">
      <w:pPr>
        <w:pStyle w:val="Heading1"/>
        <w:spacing w:before="400" w:after="200"/>
        <w:rPr>
          <w:rFonts w:ascii="Calibri" w:eastAsia="Calibri" w:hAnsi="Calibri" w:cs="Calibri"/>
          <w:b/>
          <w:bCs/>
          <w:color w:val="1F3864"/>
          <w:sz w:val="28"/>
          <w:szCs w:val="28"/>
        </w:rPr>
      </w:pPr>
    </w:p>
    <w:p w14:paraId="44EFCB12" w14:textId="6FBE7E17" w:rsidR="00EB47F0" w:rsidRDefault="00345256" w:rsidP="00FF33B0">
      <w:pPr>
        <w:pStyle w:val="Heading1"/>
        <w:spacing w:before="400" w:after="200"/>
      </w:pPr>
      <w:r>
        <w:rPr>
          <w:rFonts w:ascii="Calibri" w:eastAsia="Calibri" w:hAnsi="Calibri" w:cs="Calibri"/>
          <w:b/>
          <w:bCs/>
          <w:color w:val="1F3864"/>
          <w:sz w:val="28"/>
          <w:szCs w:val="28"/>
        </w:rPr>
        <w:t>7.0 SOCIAL</w:t>
      </w:r>
      <w:r w:rsidR="00000000">
        <w:rPr>
          <w:rFonts w:ascii="Calibri" w:eastAsia="Calibri" w:hAnsi="Calibri" w:cs="Calibri"/>
          <w:b/>
          <w:bCs/>
          <w:color w:val="1F3864"/>
          <w:sz w:val="28"/>
          <w:szCs w:val="28"/>
        </w:rPr>
        <w:t xml:space="preserve"> RISK PROCESS</w:t>
      </w:r>
    </w:p>
    <w:p w14:paraId="3E4E5D70" w14:textId="77777777" w:rsidR="00EB47F0" w:rsidRDefault="00000000">
      <w:pPr>
        <w:spacing w:after="140" w:line="276" w:lineRule="auto"/>
        <w:jc w:val="both"/>
      </w:pPr>
      <w:r>
        <w:rPr>
          <w:rFonts w:ascii="Calibri" w:eastAsia="Calibri" w:hAnsi="Calibri" w:cs="Calibri"/>
          <w:sz w:val="22"/>
          <w:szCs w:val="22"/>
        </w:rPr>
        <w:t>MaryAnn operates the following six-step process for every identified social risk:</w:t>
      </w:r>
    </w:p>
    <w:p w14:paraId="5F635ABE" w14:textId="77777777" w:rsidR="00EB47F0" w:rsidRDefault="00000000">
      <w:pPr>
        <w:spacing w:before="160" w:after="40"/>
      </w:pPr>
      <w:r>
        <w:rPr>
          <w:rFonts w:ascii="Calibri" w:eastAsia="Calibri" w:hAnsi="Calibri" w:cs="Calibri"/>
          <w:b/>
          <w:bCs/>
          <w:color w:val="1F3864"/>
          <w:sz w:val="22"/>
          <w:szCs w:val="22"/>
        </w:rPr>
        <w:t>Step 1 — Identify</w:t>
      </w:r>
    </w:p>
    <w:p w14:paraId="019D08B0" w14:textId="77777777" w:rsidR="00EB47F0" w:rsidRDefault="00000000">
      <w:pPr>
        <w:spacing w:after="140" w:line="276" w:lineRule="auto"/>
        <w:jc w:val="both"/>
      </w:pPr>
      <w:r>
        <w:rPr>
          <w:rFonts w:ascii="Calibri" w:eastAsia="Calibri" w:hAnsi="Calibri" w:cs="Calibri"/>
          <w:sz w:val="22"/>
          <w:szCs w:val="22"/>
        </w:rPr>
        <w:t>MaryAnn identifies social risks against the categories in Section 5, drawing on stakeholder engagement, site reports, and grievances raised through the Grievance Channels (Ref. SWDA-HSE-PROC-04.3.8).</w:t>
      </w:r>
    </w:p>
    <w:p w14:paraId="0062FD5E" w14:textId="77777777" w:rsidR="00EB47F0" w:rsidRDefault="00000000">
      <w:pPr>
        <w:spacing w:before="160" w:after="40"/>
      </w:pPr>
      <w:r>
        <w:rPr>
          <w:rFonts w:ascii="Calibri" w:eastAsia="Calibri" w:hAnsi="Calibri" w:cs="Calibri"/>
          <w:b/>
          <w:bCs/>
          <w:color w:val="1F3864"/>
          <w:sz w:val="22"/>
          <w:szCs w:val="22"/>
        </w:rPr>
        <w:t>Step 2 — Screen</w:t>
      </w:r>
    </w:p>
    <w:p w14:paraId="709E9FD1" w14:textId="77777777" w:rsidR="00EB47F0" w:rsidRDefault="00000000">
      <w:pPr>
        <w:spacing w:after="140" w:line="276" w:lineRule="auto"/>
        <w:jc w:val="both"/>
      </w:pPr>
      <w:r>
        <w:rPr>
          <w:rFonts w:ascii="Calibri" w:eastAsia="Calibri" w:hAnsi="Calibri" w:cs="Calibri"/>
          <w:sz w:val="22"/>
          <w:szCs w:val="22"/>
        </w:rPr>
        <w:t>Each identified risk is screened and assigned a Risk Level using the matrix in Section 6.</w:t>
      </w:r>
    </w:p>
    <w:p w14:paraId="106601C3" w14:textId="77777777" w:rsidR="00EB47F0" w:rsidRDefault="00000000">
      <w:pPr>
        <w:spacing w:before="160" w:after="40"/>
      </w:pPr>
      <w:r>
        <w:rPr>
          <w:rFonts w:ascii="Calibri" w:eastAsia="Calibri" w:hAnsi="Calibri" w:cs="Calibri"/>
          <w:b/>
          <w:bCs/>
          <w:color w:val="1F3864"/>
          <w:sz w:val="22"/>
          <w:szCs w:val="22"/>
        </w:rPr>
        <w:t>Step 3 — Mitigate</w:t>
      </w:r>
    </w:p>
    <w:p w14:paraId="345E41F9" w14:textId="77777777" w:rsidR="00EB47F0" w:rsidRDefault="00000000">
      <w:pPr>
        <w:spacing w:after="140" w:line="276" w:lineRule="auto"/>
        <w:jc w:val="both"/>
      </w:pPr>
      <w:r>
        <w:rPr>
          <w:rFonts w:ascii="Calibri" w:eastAsia="Calibri" w:hAnsi="Calibri" w:cs="Calibri"/>
          <w:sz w:val="22"/>
          <w:szCs w:val="22"/>
        </w:rPr>
        <w:t>MaryAnn agrees and implements mitigation actions at the level of authority defined in Section 6; High-risk items are escalated to the Managing Director without delay.</w:t>
      </w:r>
    </w:p>
    <w:p w14:paraId="1F15C6C6" w14:textId="77777777" w:rsidR="00EB47F0" w:rsidRDefault="00000000">
      <w:pPr>
        <w:spacing w:before="160" w:after="40"/>
      </w:pPr>
      <w:r>
        <w:rPr>
          <w:rFonts w:ascii="Calibri" w:eastAsia="Calibri" w:hAnsi="Calibri" w:cs="Calibri"/>
          <w:b/>
          <w:bCs/>
          <w:color w:val="1F3864"/>
          <w:sz w:val="22"/>
          <w:szCs w:val="22"/>
        </w:rPr>
        <w:t>Step 4 — Record</w:t>
      </w:r>
    </w:p>
    <w:p w14:paraId="21776130" w14:textId="77777777" w:rsidR="00EB47F0" w:rsidRDefault="00000000">
      <w:pPr>
        <w:spacing w:after="140" w:line="276" w:lineRule="auto"/>
        <w:jc w:val="both"/>
      </w:pPr>
      <w:r>
        <w:rPr>
          <w:rFonts w:ascii="Calibri" w:eastAsia="Calibri" w:hAnsi="Calibri" w:cs="Calibri"/>
          <w:sz w:val="22"/>
          <w:szCs w:val="22"/>
        </w:rPr>
        <w:t>Every identified risk, and the mitigation action taken, is logged in the Social Risk Register (Section 7), owned and maintained by MaryAnn.</w:t>
      </w:r>
    </w:p>
    <w:p w14:paraId="7BD83E4F" w14:textId="77777777" w:rsidR="00EB47F0" w:rsidRDefault="00000000">
      <w:pPr>
        <w:spacing w:before="160" w:after="40"/>
      </w:pPr>
      <w:r>
        <w:rPr>
          <w:rFonts w:ascii="Calibri" w:eastAsia="Calibri" w:hAnsi="Calibri" w:cs="Calibri"/>
          <w:b/>
          <w:bCs/>
          <w:color w:val="1F3864"/>
          <w:sz w:val="22"/>
          <w:szCs w:val="22"/>
        </w:rPr>
        <w:t>Step 5 — Monitor &amp; Report</w:t>
      </w:r>
    </w:p>
    <w:p w14:paraId="31DB4EAB" w14:textId="77777777" w:rsidR="00EB47F0" w:rsidRDefault="00000000">
      <w:pPr>
        <w:spacing w:after="140" w:line="276" w:lineRule="auto"/>
        <w:jc w:val="both"/>
      </w:pPr>
      <w:r>
        <w:rPr>
          <w:rFonts w:ascii="Calibri" w:eastAsia="Calibri" w:hAnsi="Calibri" w:cs="Calibri"/>
          <w:sz w:val="22"/>
          <w:szCs w:val="22"/>
        </w:rPr>
        <w:t>MaryAnn monitors the effectiveness of mitigation actions and reports social risk status monthly to the HSE Manager, quarterly to the CESRC, and immediately to the Managing Director for any High-risk item.</w:t>
      </w:r>
    </w:p>
    <w:p w14:paraId="4565B43D" w14:textId="77777777" w:rsidR="00EB47F0" w:rsidRDefault="00000000">
      <w:pPr>
        <w:spacing w:before="160" w:after="40"/>
      </w:pPr>
      <w:r>
        <w:rPr>
          <w:rFonts w:ascii="Calibri" w:eastAsia="Calibri" w:hAnsi="Calibri" w:cs="Calibri"/>
          <w:b/>
          <w:bCs/>
          <w:color w:val="1F3864"/>
          <w:sz w:val="22"/>
          <w:szCs w:val="22"/>
        </w:rPr>
        <w:t>Step 6 — Review</w:t>
      </w:r>
    </w:p>
    <w:p w14:paraId="69C051E3" w14:textId="77777777" w:rsidR="00EB47F0" w:rsidRDefault="00000000">
      <w:pPr>
        <w:spacing w:after="140" w:line="276" w:lineRule="auto"/>
        <w:jc w:val="both"/>
      </w:pPr>
      <w:r>
        <w:rPr>
          <w:rFonts w:ascii="Calibri" w:eastAsia="Calibri" w:hAnsi="Calibri" w:cs="Calibri"/>
          <w:sz w:val="22"/>
          <w:szCs w:val="22"/>
        </w:rPr>
        <w:t>The Social Risk Register is reviewed by MaryAnn and the CESRC at minimum quarterly, and this Policy &amp; Procedure is reviewed annually as part of the HSE-MS System Review (Ref. HSEP Sec. 4.8).</w:t>
      </w:r>
    </w:p>
    <w:p w14:paraId="1212677B" w14:textId="515C33A0" w:rsidR="00EB47F0" w:rsidRDefault="00345256" w:rsidP="00FF33B0">
      <w:pPr>
        <w:pStyle w:val="Heading1"/>
        <w:spacing w:before="400" w:after="200"/>
      </w:pPr>
      <w:r>
        <w:rPr>
          <w:rFonts w:ascii="Calibri" w:eastAsia="Calibri" w:hAnsi="Calibri" w:cs="Calibri"/>
          <w:b/>
          <w:bCs/>
          <w:color w:val="1F3864"/>
          <w:sz w:val="28"/>
          <w:szCs w:val="28"/>
        </w:rPr>
        <w:t>8.0 SOCIAL</w:t>
      </w:r>
      <w:r w:rsidR="00000000">
        <w:rPr>
          <w:rFonts w:ascii="Calibri" w:eastAsia="Calibri" w:hAnsi="Calibri" w:cs="Calibri"/>
          <w:b/>
          <w:bCs/>
          <w:color w:val="1F3864"/>
          <w:sz w:val="28"/>
          <w:szCs w:val="28"/>
        </w:rPr>
        <w:t xml:space="preserve"> RISK REGISTER</w:t>
      </w:r>
    </w:p>
    <w:p w14:paraId="67189061" w14:textId="77777777" w:rsidR="00EB47F0" w:rsidRDefault="00000000">
      <w:pPr>
        <w:spacing w:after="140" w:line="276" w:lineRule="auto"/>
        <w:jc w:val="both"/>
      </w:pPr>
      <w:r>
        <w:rPr>
          <w:rFonts w:ascii="Calibri" w:eastAsia="Calibri" w:hAnsi="Calibri" w:cs="Calibri"/>
          <w:sz w:val="22"/>
          <w:szCs w:val="22"/>
        </w:rPr>
        <w:t>MaryAnn maintains the Social Risk Register, available for review by the MD, the HSE Manager, the CESRC, RAEC and SWDA's HSE Auditors. The Register template is structured as follows (populated register maintained separately as a controlled HSE-MS document):</w:t>
      </w:r>
    </w:p>
    <w:tbl>
      <w:tblPr>
        <w:tblW w:w="9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69"/>
        <w:gridCol w:w="1308"/>
        <w:gridCol w:w="989"/>
        <w:gridCol w:w="767"/>
        <w:gridCol w:w="1756"/>
        <w:gridCol w:w="1739"/>
        <w:gridCol w:w="874"/>
        <w:gridCol w:w="785"/>
        <w:gridCol w:w="963"/>
      </w:tblGrid>
      <w:tr w:rsidR="00EB47F0" w14:paraId="28AB0EEB" w14:textId="77777777">
        <w:trPr>
          <w:tblHeader/>
        </w:trPr>
        <w:tc>
          <w:tcPr>
            <w:tcW w:w="700" w:type="dxa"/>
            <w:shd w:val="clear" w:color="auto" w:fill="1F3864"/>
            <w:tcMar>
              <w:top w:w="80" w:type="dxa"/>
              <w:left w:w="100" w:type="dxa"/>
              <w:bottom w:w="80" w:type="dxa"/>
              <w:right w:w="100" w:type="dxa"/>
            </w:tcMar>
            <w:vAlign w:val="center"/>
          </w:tcPr>
          <w:p w14:paraId="3467CA02" w14:textId="77777777" w:rsidR="00EB47F0" w:rsidRDefault="00000000">
            <w:r>
              <w:rPr>
                <w:rFonts w:ascii="Calibri" w:eastAsia="Calibri" w:hAnsi="Calibri" w:cs="Calibri"/>
                <w:b/>
                <w:bCs/>
                <w:color w:val="FFFFFF"/>
              </w:rPr>
              <w:t>Risk No.</w:t>
            </w:r>
          </w:p>
        </w:tc>
        <w:tc>
          <w:tcPr>
            <w:tcW w:w="1000" w:type="dxa"/>
            <w:shd w:val="clear" w:color="auto" w:fill="1F3864"/>
            <w:tcMar>
              <w:top w:w="80" w:type="dxa"/>
              <w:left w:w="100" w:type="dxa"/>
              <w:bottom w:w="80" w:type="dxa"/>
              <w:right w:w="100" w:type="dxa"/>
            </w:tcMar>
            <w:vAlign w:val="center"/>
          </w:tcPr>
          <w:p w14:paraId="0CBD705E" w14:textId="77777777" w:rsidR="00EB47F0" w:rsidRDefault="00000000">
            <w:r>
              <w:rPr>
                <w:rFonts w:ascii="Calibri" w:eastAsia="Calibri" w:hAnsi="Calibri" w:cs="Calibri"/>
                <w:b/>
                <w:bCs/>
                <w:color w:val="FFFFFF"/>
              </w:rPr>
              <w:t>Site/Location</w:t>
            </w:r>
          </w:p>
        </w:tc>
        <w:tc>
          <w:tcPr>
            <w:tcW w:w="1000" w:type="dxa"/>
            <w:shd w:val="clear" w:color="auto" w:fill="1F3864"/>
            <w:tcMar>
              <w:top w:w="80" w:type="dxa"/>
              <w:left w:w="100" w:type="dxa"/>
              <w:bottom w:w="80" w:type="dxa"/>
              <w:right w:w="100" w:type="dxa"/>
            </w:tcMar>
            <w:vAlign w:val="center"/>
          </w:tcPr>
          <w:p w14:paraId="5A8C7E1E" w14:textId="77777777" w:rsidR="00EB47F0" w:rsidRDefault="00000000">
            <w:r>
              <w:rPr>
                <w:rFonts w:ascii="Calibri" w:eastAsia="Calibri" w:hAnsi="Calibri" w:cs="Calibri"/>
                <w:b/>
                <w:bCs/>
                <w:color w:val="FFFFFF"/>
              </w:rPr>
              <w:t>Category</w:t>
            </w:r>
          </w:p>
        </w:tc>
        <w:tc>
          <w:tcPr>
            <w:tcW w:w="800" w:type="dxa"/>
            <w:shd w:val="clear" w:color="auto" w:fill="1F3864"/>
            <w:tcMar>
              <w:top w:w="80" w:type="dxa"/>
              <w:left w:w="100" w:type="dxa"/>
              <w:bottom w:w="80" w:type="dxa"/>
              <w:right w:w="100" w:type="dxa"/>
            </w:tcMar>
            <w:vAlign w:val="center"/>
          </w:tcPr>
          <w:p w14:paraId="5ACF3909" w14:textId="77777777" w:rsidR="00EB47F0" w:rsidRDefault="00000000">
            <w:r>
              <w:rPr>
                <w:rFonts w:ascii="Calibri" w:eastAsia="Calibri" w:hAnsi="Calibri" w:cs="Calibri"/>
                <w:b/>
                <w:bCs/>
                <w:color w:val="FFFFFF"/>
              </w:rPr>
              <w:t>Risk Level</w:t>
            </w:r>
          </w:p>
        </w:tc>
        <w:tc>
          <w:tcPr>
            <w:tcW w:w="1900" w:type="dxa"/>
            <w:shd w:val="clear" w:color="auto" w:fill="1F3864"/>
            <w:tcMar>
              <w:top w:w="80" w:type="dxa"/>
              <w:left w:w="100" w:type="dxa"/>
              <w:bottom w:w="80" w:type="dxa"/>
              <w:right w:w="100" w:type="dxa"/>
            </w:tcMar>
            <w:vAlign w:val="center"/>
          </w:tcPr>
          <w:p w14:paraId="5ACBFCF0" w14:textId="77777777" w:rsidR="00EB47F0" w:rsidRDefault="00000000">
            <w:r>
              <w:rPr>
                <w:rFonts w:ascii="Calibri" w:eastAsia="Calibri" w:hAnsi="Calibri" w:cs="Calibri"/>
                <w:b/>
                <w:bCs/>
                <w:color w:val="FFFFFF"/>
              </w:rPr>
              <w:t>Description</w:t>
            </w:r>
          </w:p>
        </w:tc>
        <w:tc>
          <w:tcPr>
            <w:tcW w:w="1750" w:type="dxa"/>
            <w:shd w:val="clear" w:color="auto" w:fill="1F3864"/>
            <w:tcMar>
              <w:top w:w="80" w:type="dxa"/>
              <w:left w:w="100" w:type="dxa"/>
              <w:bottom w:w="80" w:type="dxa"/>
              <w:right w:w="100" w:type="dxa"/>
            </w:tcMar>
            <w:vAlign w:val="center"/>
          </w:tcPr>
          <w:p w14:paraId="5EB367E4" w14:textId="77777777" w:rsidR="00EB47F0" w:rsidRDefault="00000000">
            <w:r>
              <w:rPr>
                <w:rFonts w:ascii="Calibri" w:eastAsia="Calibri" w:hAnsi="Calibri" w:cs="Calibri"/>
                <w:b/>
                <w:bCs/>
                <w:color w:val="FFFFFF"/>
              </w:rPr>
              <w:t>Mitigation/Action</w:t>
            </w:r>
          </w:p>
        </w:tc>
        <w:tc>
          <w:tcPr>
            <w:tcW w:w="900" w:type="dxa"/>
            <w:shd w:val="clear" w:color="auto" w:fill="1F3864"/>
            <w:tcMar>
              <w:top w:w="80" w:type="dxa"/>
              <w:left w:w="100" w:type="dxa"/>
              <w:bottom w:w="80" w:type="dxa"/>
              <w:right w:w="100" w:type="dxa"/>
            </w:tcMar>
            <w:vAlign w:val="center"/>
          </w:tcPr>
          <w:p w14:paraId="23A57477" w14:textId="77777777" w:rsidR="00EB47F0" w:rsidRDefault="00000000">
            <w:r>
              <w:rPr>
                <w:rFonts w:ascii="Calibri" w:eastAsia="Calibri" w:hAnsi="Calibri" w:cs="Calibri"/>
                <w:b/>
                <w:bCs/>
                <w:color w:val="FFFFFF"/>
              </w:rPr>
              <w:t>Owner</w:t>
            </w:r>
          </w:p>
        </w:tc>
        <w:tc>
          <w:tcPr>
            <w:tcW w:w="800" w:type="dxa"/>
            <w:shd w:val="clear" w:color="auto" w:fill="1F3864"/>
            <w:tcMar>
              <w:top w:w="80" w:type="dxa"/>
              <w:left w:w="100" w:type="dxa"/>
              <w:bottom w:w="80" w:type="dxa"/>
              <w:right w:w="100" w:type="dxa"/>
            </w:tcMar>
            <w:vAlign w:val="center"/>
          </w:tcPr>
          <w:p w14:paraId="1D71BC85" w14:textId="77777777" w:rsidR="00EB47F0" w:rsidRDefault="00000000">
            <w:r>
              <w:rPr>
                <w:rFonts w:ascii="Calibri" w:eastAsia="Calibri" w:hAnsi="Calibri" w:cs="Calibri"/>
                <w:b/>
                <w:bCs/>
                <w:color w:val="FFFFFF"/>
              </w:rPr>
              <w:t>Status</w:t>
            </w:r>
          </w:p>
        </w:tc>
        <w:tc>
          <w:tcPr>
            <w:tcW w:w="1000" w:type="dxa"/>
            <w:shd w:val="clear" w:color="auto" w:fill="1F3864"/>
            <w:tcMar>
              <w:top w:w="80" w:type="dxa"/>
              <w:left w:w="100" w:type="dxa"/>
              <w:bottom w:w="80" w:type="dxa"/>
              <w:right w:w="100" w:type="dxa"/>
            </w:tcMar>
            <w:vAlign w:val="center"/>
          </w:tcPr>
          <w:p w14:paraId="2F59F224" w14:textId="77777777" w:rsidR="00EB47F0" w:rsidRDefault="00000000">
            <w:r>
              <w:rPr>
                <w:rFonts w:ascii="Calibri" w:eastAsia="Calibri" w:hAnsi="Calibri" w:cs="Calibri"/>
                <w:b/>
                <w:bCs/>
                <w:color w:val="FFFFFF"/>
              </w:rPr>
              <w:t>Next Review</w:t>
            </w:r>
          </w:p>
        </w:tc>
      </w:tr>
      <w:tr w:rsidR="00EB47F0" w14:paraId="289C7F18" w14:textId="77777777">
        <w:tc>
          <w:tcPr>
            <w:tcW w:w="700" w:type="dxa"/>
            <w:shd w:val="clear" w:color="auto" w:fill="F2F2F2"/>
            <w:tcMar>
              <w:top w:w="80" w:type="dxa"/>
              <w:left w:w="100" w:type="dxa"/>
              <w:bottom w:w="80" w:type="dxa"/>
              <w:right w:w="100" w:type="dxa"/>
            </w:tcMar>
            <w:vAlign w:val="center"/>
          </w:tcPr>
          <w:p w14:paraId="45681DEB" w14:textId="77777777" w:rsidR="00EB47F0" w:rsidRDefault="00EB47F0"/>
        </w:tc>
        <w:tc>
          <w:tcPr>
            <w:tcW w:w="1000" w:type="dxa"/>
            <w:shd w:val="clear" w:color="auto" w:fill="F2F2F2"/>
            <w:tcMar>
              <w:top w:w="80" w:type="dxa"/>
              <w:left w:w="100" w:type="dxa"/>
              <w:bottom w:w="80" w:type="dxa"/>
              <w:right w:w="100" w:type="dxa"/>
            </w:tcMar>
            <w:vAlign w:val="center"/>
          </w:tcPr>
          <w:p w14:paraId="4650A453" w14:textId="77777777" w:rsidR="00EB47F0" w:rsidRDefault="00EB47F0"/>
        </w:tc>
        <w:tc>
          <w:tcPr>
            <w:tcW w:w="1000" w:type="dxa"/>
            <w:shd w:val="clear" w:color="auto" w:fill="F2F2F2"/>
            <w:tcMar>
              <w:top w:w="80" w:type="dxa"/>
              <w:left w:w="100" w:type="dxa"/>
              <w:bottom w:w="80" w:type="dxa"/>
              <w:right w:w="100" w:type="dxa"/>
            </w:tcMar>
            <w:vAlign w:val="center"/>
          </w:tcPr>
          <w:p w14:paraId="1EBCE9D5" w14:textId="77777777" w:rsidR="00EB47F0" w:rsidRDefault="00EB47F0"/>
        </w:tc>
        <w:tc>
          <w:tcPr>
            <w:tcW w:w="800" w:type="dxa"/>
            <w:shd w:val="clear" w:color="auto" w:fill="F2F2F2"/>
            <w:tcMar>
              <w:top w:w="80" w:type="dxa"/>
              <w:left w:w="100" w:type="dxa"/>
              <w:bottom w:w="80" w:type="dxa"/>
              <w:right w:w="100" w:type="dxa"/>
            </w:tcMar>
            <w:vAlign w:val="center"/>
          </w:tcPr>
          <w:p w14:paraId="50635683" w14:textId="77777777" w:rsidR="00EB47F0" w:rsidRDefault="00EB47F0"/>
        </w:tc>
        <w:tc>
          <w:tcPr>
            <w:tcW w:w="1900" w:type="dxa"/>
            <w:shd w:val="clear" w:color="auto" w:fill="F2F2F2"/>
            <w:tcMar>
              <w:top w:w="80" w:type="dxa"/>
              <w:left w:w="100" w:type="dxa"/>
              <w:bottom w:w="80" w:type="dxa"/>
              <w:right w:w="100" w:type="dxa"/>
            </w:tcMar>
            <w:vAlign w:val="center"/>
          </w:tcPr>
          <w:p w14:paraId="0DFABA08" w14:textId="77777777" w:rsidR="00EB47F0" w:rsidRDefault="00EB47F0"/>
        </w:tc>
        <w:tc>
          <w:tcPr>
            <w:tcW w:w="1750" w:type="dxa"/>
            <w:shd w:val="clear" w:color="auto" w:fill="F2F2F2"/>
            <w:tcMar>
              <w:top w:w="80" w:type="dxa"/>
              <w:left w:w="100" w:type="dxa"/>
              <w:bottom w:w="80" w:type="dxa"/>
              <w:right w:w="100" w:type="dxa"/>
            </w:tcMar>
            <w:vAlign w:val="center"/>
          </w:tcPr>
          <w:p w14:paraId="66BF8199" w14:textId="77777777" w:rsidR="00EB47F0" w:rsidRDefault="00EB47F0"/>
        </w:tc>
        <w:tc>
          <w:tcPr>
            <w:tcW w:w="900" w:type="dxa"/>
            <w:shd w:val="clear" w:color="auto" w:fill="F2F2F2"/>
            <w:tcMar>
              <w:top w:w="80" w:type="dxa"/>
              <w:left w:w="100" w:type="dxa"/>
              <w:bottom w:w="80" w:type="dxa"/>
              <w:right w:w="100" w:type="dxa"/>
            </w:tcMar>
            <w:vAlign w:val="center"/>
          </w:tcPr>
          <w:p w14:paraId="5BDBA95D" w14:textId="77777777" w:rsidR="00EB47F0" w:rsidRDefault="00EB47F0"/>
        </w:tc>
        <w:tc>
          <w:tcPr>
            <w:tcW w:w="800" w:type="dxa"/>
            <w:shd w:val="clear" w:color="auto" w:fill="F2F2F2"/>
            <w:tcMar>
              <w:top w:w="80" w:type="dxa"/>
              <w:left w:w="100" w:type="dxa"/>
              <w:bottom w:w="80" w:type="dxa"/>
              <w:right w:w="100" w:type="dxa"/>
            </w:tcMar>
            <w:vAlign w:val="center"/>
          </w:tcPr>
          <w:p w14:paraId="14FD4C60" w14:textId="77777777" w:rsidR="00EB47F0" w:rsidRDefault="00EB47F0"/>
        </w:tc>
        <w:tc>
          <w:tcPr>
            <w:tcW w:w="1000" w:type="dxa"/>
            <w:shd w:val="clear" w:color="auto" w:fill="F2F2F2"/>
            <w:tcMar>
              <w:top w:w="80" w:type="dxa"/>
              <w:left w:w="100" w:type="dxa"/>
              <w:bottom w:w="80" w:type="dxa"/>
              <w:right w:w="100" w:type="dxa"/>
            </w:tcMar>
            <w:vAlign w:val="center"/>
          </w:tcPr>
          <w:p w14:paraId="5467AE74" w14:textId="77777777" w:rsidR="00EB47F0" w:rsidRDefault="00EB47F0"/>
        </w:tc>
      </w:tr>
      <w:tr w:rsidR="00EB47F0" w14:paraId="6B26E399" w14:textId="77777777">
        <w:tc>
          <w:tcPr>
            <w:tcW w:w="700" w:type="dxa"/>
            <w:shd w:val="clear" w:color="auto" w:fill="FFFFFF"/>
            <w:tcMar>
              <w:top w:w="80" w:type="dxa"/>
              <w:left w:w="100" w:type="dxa"/>
              <w:bottom w:w="80" w:type="dxa"/>
              <w:right w:w="100" w:type="dxa"/>
            </w:tcMar>
            <w:vAlign w:val="center"/>
          </w:tcPr>
          <w:p w14:paraId="16C4853A" w14:textId="77777777" w:rsidR="00EB47F0" w:rsidRDefault="00EB47F0"/>
        </w:tc>
        <w:tc>
          <w:tcPr>
            <w:tcW w:w="1000" w:type="dxa"/>
            <w:shd w:val="clear" w:color="auto" w:fill="FFFFFF"/>
            <w:tcMar>
              <w:top w:w="80" w:type="dxa"/>
              <w:left w:w="100" w:type="dxa"/>
              <w:bottom w:w="80" w:type="dxa"/>
              <w:right w:w="100" w:type="dxa"/>
            </w:tcMar>
            <w:vAlign w:val="center"/>
          </w:tcPr>
          <w:p w14:paraId="0C37BCD1" w14:textId="77777777" w:rsidR="00EB47F0" w:rsidRDefault="00EB47F0"/>
        </w:tc>
        <w:tc>
          <w:tcPr>
            <w:tcW w:w="1000" w:type="dxa"/>
            <w:shd w:val="clear" w:color="auto" w:fill="FFFFFF"/>
            <w:tcMar>
              <w:top w:w="80" w:type="dxa"/>
              <w:left w:w="100" w:type="dxa"/>
              <w:bottom w:w="80" w:type="dxa"/>
              <w:right w:w="100" w:type="dxa"/>
            </w:tcMar>
            <w:vAlign w:val="center"/>
          </w:tcPr>
          <w:p w14:paraId="515360FC" w14:textId="77777777" w:rsidR="00EB47F0" w:rsidRDefault="00EB47F0"/>
        </w:tc>
        <w:tc>
          <w:tcPr>
            <w:tcW w:w="800" w:type="dxa"/>
            <w:shd w:val="clear" w:color="auto" w:fill="FFFFFF"/>
            <w:tcMar>
              <w:top w:w="80" w:type="dxa"/>
              <w:left w:w="100" w:type="dxa"/>
              <w:bottom w:w="80" w:type="dxa"/>
              <w:right w:w="100" w:type="dxa"/>
            </w:tcMar>
            <w:vAlign w:val="center"/>
          </w:tcPr>
          <w:p w14:paraId="06BC9332" w14:textId="77777777" w:rsidR="00EB47F0" w:rsidRDefault="00EB47F0"/>
        </w:tc>
        <w:tc>
          <w:tcPr>
            <w:tcW w:w="1900" w:type="dxa"/>
            <w:shd w:val="clear" w:color="auto" w:fill="FFFFFF"/>
            <w:tcMar>
              <w:top w:w="80" w:type="dxa"/>
              <w:left w:w="100" w:type="dxa"/>
              <w:bottom w:w="80" w:type="dxa"/>
              <w:right w:w="100" w:type="dxa"/>
            </w:tcMar>
            <w:vAlign w:val="center"/>
          </w:tcPr>
          <w:p w14:paraId="0B678B02" w14:textId="77777777" w:rsidR="00EB47F0" w:rsidRDefault="00EB47F0"/>
        </w:tc>
        <w:tc>
          <w:tcPr>
            <w:tcW w:w="1750" w:type="dxa"/>
            <w:shd w:val="clear" w:color="auto" w:fill="FFFFFF"/>
            <w:tcMar>
              <w:top w:w="80" w:type="dxa"/>
              <w:left w:w="100" w:type="dxa"/>
              <w:bottom w:w="80" w:type="dxa"/>
              <w:right w:w="100" w:type="dxa"/>
            </w:tcMar>
            <w:vAlign w:val="center"/>
          </w:tcPr>
          <w:p w14:paraId="1E4C74CA" w14:textId="77777777" w:rsidR="00EB47F0" w:rsidRDefault="00EB47F0"/>
        </w:tc>
        <w:tc>
          <w:tcPr>
            <w:tcW w:w="900" w:type="dxa"/>
            <w:shd w:val="clear" w:color="auto" w:fill="FFFFFF"/>
            <w:tcMar>
              <w:top w:w="80" w:type="dxa"/>
              <w:left w:w="100" w:type="dxa"/>
              <w:bottom w:w="80" w:type="dxa"/>
              <w:right w:w="100" w:type="dxa"/>
            </w:tcMar>
            <w:vAlign w:val="center"/>
          </w:tcPr>
          <w:p w14:paraId="76293189" w14:textId="77777777" w:rsidR="00EB47F0" w:rsidRDefault="00EB47F0"/>
        </w:tc>
        <w:tc>
          <w:tcPr>
            <w:tcW w:w="800" w:type="dxa"/>
            <w:shd w:val="clear" w:color="auto" w:fill="FFFFFF"/>
            <w:tcMar>
              <w:top w:w="80" w:type="dxa"/>
              <w:left w:w="100" w:type="dxa"/>
              <w:bottom w:w="80" w:type="dxa"/>
              <w:right w:w="100" w:type="dxa"/>
            </w:tcMar>
            <w:vAlign w:val="center"/>
          </w:tcPr>
          <w:p w14:paraId="255E51E7" w14:textId="77777777" w:rsidR="00EB47F0" w:rsidRDefault="00EB47F0"/>
        </w:tc>
        <w:tc>
          <w:tcPr>
            <w:tcW w:w="1000" w:type="dxa"/>
            <w:shd w:val="clear" w:color="auto" w:fill="FFFFFF"/>
            <w:tcMar>
              <w:top w:w="80" w:type="dxa"/>
              <w:left w:w="100" w:type="dxa"/>
              <w:bottom w:w="80" w:type="dxa"/>
              <w:right w:w="100" w:type="dxa"/>
            </w:tcMar>
            <w:vAlign w:val="center"/>
          </w:tcPr>
          <w:p w14:paraId="2E78CB95" w14:textId="77777777" w:rsidR="00EB47F0" w:rsidRDefault="00EB47F0"/>
        </w:tc>
      </w:tr>
      <w:tr w:rsidR="00EB47F0" w14:paraId="065B70EF" w14:textId="77777777">
        <w:tc>
          <w:tcPr>
            <w:tcW w:w="700" w:type="dxa"/>
            <w:shd w:val="clear" w:color="auto" w:fill="F2F2F2"/>
            <w:tcMar>
              <w:top w:w="80" w:type="dxa"/>
              <w:left w:w="100" w:type="dxa"/>
              <w:bottom w:w="80" w:type="dxa"/>
              <w:right w:w="100" w:type="dxa"/>
            </w:tcMar>
            <w:vAlign w:val="center"/>
          </w:tcPr>
          <w:p w14:paraId="4DF667EE" w14:textId="77777777" w:rsidR="00EB47F0" w:rsidRDefault="00EB47F0"/>
        </w:tc>
        <w:tc>
          <w:tcPr>
            <w:tcW w:w="1000" w:type="dxa"/>
            <w:shd w:val="clear" w:color="auto" w:fill="F2F2F2"/>
            <w:tcMar>
              <w:top w:w="80" w:type="dxa"/>
              <w:left w:w="100" w:type="dxa"/>
              <w:bottom w:w="80" w:type="dxa"/>
              <w:right w:w="100" w:type="dxa"/>
            </w:tcMar>
            <w:vAlign w:val="center"/>
          </w:tcPr>
          <w:p w14:paraId="00FDFF57" w14:textId="77777777" w:rsidR="00EB47F0" w:rsidRDefault="00EB47F0"/>
        </w:tc>
        <w:tc>
          <w:tcPr>
            <w:tcW w:w="1000" w:type="dxa"/>
            <w:shd w:val="clear" w:color="auto" w:fill="F2F2F2"/>
            <w:tcMar>
              <w:top w:w="80" w:type="dxa"/>
              <w:left w:w="100" w:type="dxa"/>
              <w:bottom w:w="80" w:type="dxa"/>
              <w:right w:w="100" w:type="dxa"/>
            </w:tcMar>
            <w:vAlign w:val="center"/>
          </w:tcPr>
          <w:p w14:paraId="2B3952F8" w14:textId="77777777" w:rsidR="00EB47F0" w:rsidRDefault="00EB47F0"/>
        </w:tc>
        <w:tc>
          <w:tcPr>
            <w:tcW w:w="800" w:type="dxa"/>
            <w:shd w:val="clear" w:color="auto" w:fill="F2F2F2"/>
            <w:tcMar>
              <w:top w:w="80" w:type="dxa"/>
              <w:left w:w="100" w:type="dxa"/>
              <w:bottom w:w="80" w:type="dxa"/>
              <w:right w:w="100" w:type="dxa"/>
            </w:tcMar>
            <w:vAlign w:val="center"/>
          </w:tcPr>
          <w:p w14:paraId="5130CDEF" w14:textId="77777777" w:rsidR="00EB47F0" w:rsidRDefault="00EB47F0"/>
        </w:tc>
        <w:tc>
          <w:tcPr>
            <w:tcW w:w="1900" w:type="dxa"/>
            <w:shd w:val="clear" w:color="auto" w:fill="F2F2F2"/>
            <w:tcMar>
              <w:top w:w="80" w:type="dxa"/>
              <w:left w:w="100" w:type="dxa"/>
              <w:bottom w:w="80" w:type="dxa"/>
              <w:right w:w="100" w:type="dxa"/>
            </w:tcMar>
            <w:vAlign w:val="center"/>
          </w:tcPr>
          <w:p w14:paraId="585926FF" w14:textId="77777777" w:rsidR="00EB47F0" w:rsidRDefault="00EB47F0"/>
        </w:tc>
        <w:tc>
          <w:tcPr>
            <w:tcW w:w="1750" w:type="dxa"/>
            <w:shd w:val="clear" w:color="auto" w:fill="F2F2F2"/>
            <w:tcMar>
              <w:top w:w="80" w:type="dxa"/>
              <w:left w:w="100" w:type="dxa"/>
              <w:bottom w:w="80" w:type="dxa"/>
              <w:right w:w="100" w:type="dxa"/>
            </w:tcMar>
            <w:vAlign w:val="center"/>
          </w:tcPr>
          <w:p w14:paraId="6F39ECA2" w14:textId="77777777" w:rsidR="00EB47F0" w:rsidRDefault="00EB47F0"/>
        </w:tc>
        <w:tc>
          <w:tcPr>
            <w:tcW w:w="900" w:type="dxa"/>
            <w:shd w:val="clear" w:color="auto" w:fill="F2F2F2"/>
            <w:tcMar>
              <w:top w:w="80" w:type="dxa"/>
              <w:left w:w="100" w:type="dxa"/>
              <w:bottom w:w="80" w:type="dxa"/>
              <w:right w:w="100" w:type="dxa"/>
            </w:tcMar>
            <w:vAlign w:val="center"/>
          </w:tcPr>
          <w:p w14:paraId="1C38078D" w14:textId="77777777" w:rsidR="00EB47F0" w:rsidRDefault="00EB47F0"/>
        </w:tc>
        <w:tc>
          <w:tcPr>
            <w:tcW w:w="800" w:type="dxa"/>
            <w:shd w:val="clear" w:color="auto" w:fill="F2F2F2"/>
            <w:tcMar>
              <w:top w:w="80" w:type="dxa"/>
              <w:left w:w="100" w:type="dxa"/>
              <w:bottom w:w="80" w:type="dxa"/>
              <w:right w:w="100" w:type="dxa"/>
            </w:tcMar>
            <w:vAlign w:val="center"/>
          </w:tcPr>
          <w:p w14:paraId="2C867A13" w14:textId="77777777" w:rsidR="00EB47F0" w:rsidRDefault="00EB47F0"/>
        </w:tc>
        <w:tc>
          <w:tcPr>
            <w:tcW w:w="1000" w:type="dxa"/>
            <w:shd w:val="clear" w:color="auto" w:fill="F2F2F2"/>
            <w:tcMar>
              <w:top w:w="80" w:type="dxa"/>
              <w:left w:w="100" w:type="dxa"/>
              <w:bottom w:w="80" w:type="dxa"/>
              <w:right w:w="100" w:type="dxa"/>
            </w:tcMar>
            <w:vAlign w:val="center"/>
          </w:tcPr>
          <w:p w14:paraId="3E05FA2D" w14:textId="77777777" w:rsidR="00EB47F0" w:rsidRDefault="00EB47F0"/>
        </w:tc>
      </w:tr>
    </w:tbl>
    <w:p w14:paraId="73D6C07F" w14:textId="77777777" w:rsidR="00FF33B0" w:rsidRDefault="00FF33B0" w:rsidP="00FF33B0">
      <w:pPr>
        <w:pStyle w:val="Heading1"/>
        <w:spacing w:before="400" w:after="200"/>
        <w:rPr>
          <w:rFonts w:ascii="Calibri" w:eastAsia="Calibri" w:hAnsi="Calibri" w:cs="Calibri"/>
          <w:b/>
          <w:bCs/>
          <w:color w:val="1F3864"/>
          <w:sz w:val="28"/>
          <w:szCs w:val="28"/>
        </w:rPr>
      </w:pPr>
    </w:p>
    <w:p w14:paraId="7391E2A5" w14:textId="77777777" w:rsidR="00FF33B0" w:rsidRDefault="00FF33B0" w:rsidP="00FF33B0">
      <w:pPr>
        <w:pStyle w:val="Heading1"/>
        <w:spacing w:before="400" w:after="200"/>
        <w:rPr>
          <w:rFonts w:ascii="Calibri" w:eastAsia="Calibri" w:hAnsi="Calibri" w:cs="Calibri"/>
          <w:b/>
          <w:bCs/>
          <w:color w:val="1F3864"/>
          <w:sz w:val="28"/>
          <w:szCs w:val="28"/>
        </w:rPr>
      </w:pPr>
    </w:p>
    <w:p w14:paraId="21BBB61F" w14:textId="77777777" w:rsidR="00FF33B0" w:rsidRDefault="00FF33B0" w:rsidP="00FF33B0">
      <w:pPr>
        <w:pStyle w:val="Heading1"/>
        <w:spacing w:before="400" w:after="200"/>
        <w:rPr>
          <w:rFonts w:ascii="Calibri" w:eastAsia="Calibri" w:hAnsi="Calibri" w:cs="Calibri"/>
          <w:b/>
          <w:bCs/>
          <w:color w:val="1F3864"/>
          <w:sz w:val="28"/>
          <w:szCs w:val="28"/>
        </w:rPr>
      </w:pPr>
    </w:p>
    <w:p w14:paraId="7D083977" w14:textId="3EB0DA83" w:rsidR="00EB47F0" w:rsidRDefault="00000000" w:rsidP="00FF33B0">
      <w:pPr>
        <w:pStyle w:val="Heading1"/>
        <w:spacing w:before="400" w:after="200"/>
      </w:pPr>
      <w:proofErr w:type="gramStart"/>
      <w:r>
        <w:rPr>
          <w:rFonts w:ascii="Calibri" w:eastAsia="Calibri" w:hAnsi="Calibri" w:cs="Calibri"/>
          <w:b/>
          <w:bCs/>
          <w:color w:val="1F3864"/>
          <w:sz w:val="28"/>
          <w:szCs w:val="28"/>
        </w:rPr>
        <w:t>9.0  REPORTING</w:t>
      </w:r>
      <w:proofErr w:type="gramEnd"/>
      <w:r>
        <w:rPr>
          <w:rFonts w:ascii="Calibri" w:eastAsia="Calibri" w:hAnsi="Calibri" w:cs="Calibri"/>
          <w:b/>
          <w:bCs/>
          <w:color w:val="1F3864"/>
          <w:sz w:val="28"/>
          <w:szCs w:val="28"/>
        </w:rPr>
        <w:t xml:space="preserve"> &amp; REVIEW</w:t>
      </w:r>
    </w:p>
    <w:p w14:paraId="3F9196B9" w14:textId="77777777" w:rsidR="00EB47F0" w:rsidRDefault="00000000">
      <w:pPr>
        <w:pStyle w:val="ListParagraph"/>
        <w:numPr>
          <w:ilvl w:val="0"/>
          <w:numId w:val="2"/>
        </w:numPr>
        <w:spacing w:after="90" w:line="276" w:lineRule="auto"/>
      </w:pPr>
      <w:r>
        <w:rPr>
          <w:rFonts w:ascii="Calibri" w:eastAsia="Calibri" w:hAnsi="Calibri" w:cs="Calibri"/>
          <w:sz w:val="22"/>
          <w:szCs w:val="22"/>
        </w:rPr>
        <w:t>Monthly — MaryAnn reports social risk status to the HSE Manager;</w:t>
      </w:r>
    </w:p>
    <w:p w14:paraId="4F5000DC" w14:textId="77777777" w:rsidR="00EB47F0" w:rsidRDefault="00000000">
      <w:pPr>
        <w:pStyle w:val="ListParagraph"/>
        <w:numPr>
          <w:ilvl w:val="0"/>
          <w:numId w:val="2"/>
        </w:numPr>
        <w:spacing w:after="90" w:line="276" w:lineRule="auto"/>
      </w:pPr>
      <w:r>
        <w:rPr>
          <w:rFonts w:ascii="Calibri" w:eastAsia="Calibri" w:hAnsi="Calibri" w:cs="Calibri"/>
          <w:sz w:val="22"/>
          <w:szCs w:val="22"/>
        </w:rPr>
        <w:t>Quarterly — MaryAnn presents the Social Risk Register to the CESRC for review;</w:t>
      </w:r>
    </w:p>
    <w:p w14:paraId="0B0CD372" w14:textId="328F41B0" w:rsidR="00FF33B0" w:rsidRDefault="00000000" w:rsidP="00FF33B0">
      <w:pPr>
        <w:pStyle w:val="ListParagraph"/>
        <w:numPr>
          <w:ilvl w:val="0"/>
          <w:numId w:val="2"/>
        </w:numPr>
        <w:spacing w:after="90" w:line="276" w:lineRule="auto"/>
      </w:pPr>
      <w:r>
        <w:rPr>
          <w:rFonts w:ascii="Calibri" w:eastAsia="Calibri" w:hAnsi="Calibri" w:cs="Calibri"/>
          <w:sz w:val="22"/>
          <w:szCs w:val="22"/>
        </w:rPr>
        <w:t>Immediate — MaryAnn escalates any High-risk item to the Managing Director without delay; and,</w:t>
      </w:r>
    </w:p>
    <w:p w14:paraId="20D272EA" w14:textId="77777777" w:rsidR="00EB47F0" w:rsidRDefault="00000000">
      <w:pPr>
        <w:pStyle w:val="ListParagraph"/>
        <w:numPr>
          <w:ilvl w:val="0"/>
          <w:numId w:val="2"/>
        </w:numPr>
        <w:spacing w:after="90" w:line="276" w:lineRule="auto"/>
      </w:pPr>
      <w:r>
        <w:rPr>
          <w:rFonts w:ascii="Calibri" w:eastAsia="Calibri" w:hAnsi="Calibri" w:cs="Calibri"/>
          <w:sz w:val="22"/>
          <w:szCs w:val="22"/>
        </w:rPr>
        <w:t>Annually — Social risk performance is a standing item of the annual Management Review of the HSE-MS (Ref. HSEP Sec. 4.8), and this Policy &amp; Procedure is reviewed for continued suitability.</w:t>
      </w:r>
    </w:p>
    <w:p w14:paraId="4D651252" w14:textId="77777777" w:rsidR="00EB47F0" w:rsidRDefault="00000000" w:rsidP="00FF33B0">
      <w:pPr>
        <w:spacing w:before="200" w:after="200"/>
      </w:pPr>
      <w:r>
        <w:rPr>
          <w:rFonts w:ascii="Calibri" w:eastAsia="Calibri" w:hAnsi="Calibri" w:cs="Calibri"/>
          <w:b/>
          <w:bCs/>
          <w:color w:val="1F3864"/>
          <w:sz w:val="22"/>
          <w:szCs w:val="22"/>
        </w:rPr>
        <w:t>ENDORSED FOR IMPLEMENTATION:</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EB47F0" w14:paraId="11FF3C68" w14:textId="77777777">
        <w:tc>
          <w:tcPr>
            <w:tcW w:w="4675" w:type="dxa"/>
            <w:tcMar>
              <w:top w:w="120" w:type="dxa"/>
              <w:left w:w="100" w:type="dxa"/>
              <w:bottom w:w="120" w:type="dxa"/>
              <w:right w:w="100" w:type="dxa"/>
            </w:tcMar>
          </w:tcPr>
          <w:p w14:paraId="397CB68C" w14:textId="16E9757A" w:rsidR="00EB47F0" w:rsidRDefault="00000000">
            <w:pPr>
              <w:spacing w:after="480"/>
            </w:pPr>
            <w:r>
              <w:rPr>
                <w:rFonts w:ascii="Calibri" w:eastAsia="Calibri" w:hAnsi="Calibri" w:cs="Calibri"/>
                <w:sz w:val="22"/>
                <w:szCs w:val="22"/>
              </w:rPr>
              <w:t>Signature:</w:t>
            </w:r>
            <w:r w:rsidR="00FF33B0">
              <w:t xml:space="preserve"> </w:t>
            </w:r>
            <w:r w:rsidR="00FF33B0">
              <w:rPr>
                <w:noProof/>
              </w:rPr>
              <w:drawing>
                <wp:inline distT="0" distB="0" distL="0" distR="0" wp14:anchorId="1EA0BE14" wp14:editId="5EC6F1AC">
                  <wp:extent cx="1543050" cy="342900"/>
                  <wp:effectExtent l="0" t="0" r="0" b="0"/>
                  <wp:docPr id="686621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3050" cy="342900"/>
                          </a:xfrm>
                          <a:prstGeom prst="rect">
                            <a:avLst/>
                          </a:prstGeom>
                          <a:noFill/>
                          <a:ln>
                            <a:noFill/>
                          </a:ln>
                        </pic:spPr>
                      </pic:pic>
                    </a:graphicData>
                  </a:graphic>
                </wp:inline>
              </w:drawing>
            </w:r>
            <w:r>
              <w:rPr>
                <w:rFonts w:ascii="Calibri" w:eastAsia="Calibri" w:hAnsi="Calibri" w:cs="Calibri"/>
                <w:sz w:val="22"/>
                <w:szCs w:val="22"/>
              </w:rPr>
              <w:t xml:space="preserve"> </w:t>
            </w:r>
          </w:p>
          <w:p w14:paraId="0073DBC6" w14:textId="10612C3B" w:rsidR="00EB47F0" w:rsidRDefault="00000000">
            <w:pPr>
              <w:spacing w:after="20"/>
            </w:pPr>
            <w:r>
              <w:rPr>
                <w:rFonts w:ascii="Calibri" w:eastAsia="Calibri" w:hAnsi="Calibri" w:cs="Calibri"/>
                <w:sz w:val="22"/>
                <w:szCs w:val="22"/>
              </w:rPr>
              <w:t>Name</w:t>
            </w:r>
            <w:r w:rsidRPr="00FF33B0">
              <w:rPr>
                <w:rFonts w:ascii="Calibri" w:eastAsia="Calibri" w:hAnsi="Calibri" w:cs="Calibri"/>
                <w:sz w:val="22"/>
                <w:szCs w:val="22"/>
                <w:u w:val="single"/>
              </w:rPr>
              <w:t xml:space="preserve">: </w:t>
            </w:r>
            <w:proofErr w:type="spellStart"/>
            <w:r w:rsidR="00FF33B0" w:rsidRPr="00FF33B0">
              <w:rPr>
                <w:rFonts w:ascii="Calibri" w:eastAsia="Calibri" w:hAnsi="Calibri" w:cs="Calibri"/>
                <w:sz w:val="22"/>
                <w:szCs w:val="22"/>
                <w:u w:val="single"/>
              </w:rPr>
              <w:t>Gliffeth</w:t>
            </w:r>
            <w:proofErr w:type="spellEnd"/>
            <w:r w:rsidR="00FF33B0" w:rsidRPr="00FF33B0">
              <w:rPr>
                <w:rFonts w:ascii="Calibri" w:eastAsia="Calibri" w:hAnsi="Calibri" w:cs="Calibri"/>
                <w:sz w:val="22"/>
                <w:szCs w:val="22"/>
                <w:u w:val="single"/>
              </w:rPr>
              <w:t xml:space="preserve"> </w:t>
            </w:r>
            <w:proofErr w:type="spellStart"/>
            <w:r w:rsidR="00FF33B0" w:rsidRPr="00FF33B0">
              <w:rPr>
                <w:rFonts w:ascii="Calibri" w:eastAsia="Calibri" w:hAnsi="Calibri" w:cs="Calibri"/>
                <w:sz w:val="22"/>
                <w:szCs w:val="22"/>
                <w:u w:val="single"/>
              </w:rPr>
              <w:t>Wonuigwe</w:t>
            </w:r>
            <w:proofErr w:type="spellEnd"/>
          </w:p>
          <w:p w14:paraId="77C2F645" w14:textId="77777777" w:rsidR="00EB47F0" w:rsidRDefault="00000000">
            <w:r>
              <w:rPr>
                <w:rFonts w:ascii="Calibri" w:eastAsia="Calibri" w:hAnsi="Calibri" w:cs="Calibri"/>
                <w:sz w:val="22"/>
                <w:szCs w:val="22"/>
              </w:rPr>
              <w:t>Title: Managing Director, SWDA</w:t>
            </w:r>
          </w:p>
        </w:tc>
        <w:tc>
          <w:tcPr>
            <w:tcW w:w="4675" w:type="dxa"/>
            <w:tcMar>
              <w:top w:w="120" w:type="dxa"/>
              <w:left w:w="100" w:type="dxa"/>
              <w:bottom w:w="120" w:type="dxa"/>
              <w:right w:w="100" w:type="dxa"/>
            </w:tcMar>
          </w:tcPr>
          <w:p w14:paraId="0D6EAFE1" w14:textId="604EF9D9" w:rsidR="00EB47F0" w:rsidRPr="00FF33B0" w:rsidRDefault="00FF33B0">
            <w:pPr>
              <w:spacing w:after="480"/>
              <w:rPr>
                <w:rFonts w:ascii="Calibri" w:eastAsia="Calibri" w:hAnsi="Calibri" w:cs="Calibri"/>
                <w:sz w:val="22"/>
                <w:szCs w:val="22"/>
              </w:rPr>
            </w:pPr>
            <w:r>
              <w:rPr>
                <w:noProof/>
              </w:rPr>
              <w:drawing>
                <wp:anchor distT="0" distB="0" distL="114300" distR="114300" simplePos="0" relativeHeight="251658240" behindDoc="1" locked="0" layoutInCell="1" allowOverlap="1" wp14:anchorId="43F7490A" wp14:editId="39828221">
                  <wp:simplePos x="0" y="0"/>
                  <wp:positionH relativeFrom="column">
                    <wp:posOffset>841375</wp:posOffset>
                  </wp:positionH>
                  <wp:positionV relativeFrom="page">
                    <wp:posOffset>0</wp:posOffset>
                  </wp:positionV>
                  <wp:extent cx="1038225" cy="352425"/>
                  <wp:effectExtent l="0" t="0" r="9525" b="9525"/>
                  <wp:wrapTight wrapText="bothSides">
                    <wp:wrapPolygon edited="0">
                      <wp:start x="0" y="0"/>
                      <wp:lineTo x="0" y="21016"/>
                      <wp:lineTo x="21402" y="21016"/>
                      <wp:lineTo x="2140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38225" cy="352425"/>
                          </a:xfrm>
                          <a:prstGeom prst="rect">
                            <a:avLst/>
                          </a:prstGeom>
                          <a:noFill/>
                        </pic:spPr>
                      </pic:pic>
                    </a:graphicData>
                  </a:graphic>
                  <wp14:sizeRelV relativeFrom="margin">
                    <wp14:pctHeight>0</wp14:pctHeight>
                  </wp14:sizeRelV>
                </wp:anchor>
              </w:drawing>
            </w:r>
            <w:r w:rsidR="00000000">
              <w:rPr>
                <w:rFonts w:ascii="Calibri" w:eastAsia="Calibri" w:hAnsi="Calibri" w:cs="Calibri"/>
                <w:sz w:val="22"/>
                <w:szCs w:val="22"/>
              </w:rPr>
              <w:t xml:space="preserve">Signature: </w:t>
            </w:r>
          </w:p>
          <w:p w14:paraId="6A5DFEA9" w14:textId="1A88B554" w:rsidR="00EB47F0" w:rsidRPr="00FF33B0" w:rsidRDefault="00000000">
            <w:pPr>
              <w:spacing w:after="20"/>
              <w:rPr>
                <w:u w:val="single"/>
              </w:rPr>
            </w:pPr>
            <w:r>
              <w:rPr>
                <w:rFonts w:ascii="Calibri" w:eastAsia="Calibri" w:hAnsi="Calibri" w:cs="Calibri"/>
                <w:sz w:val="22"/>
                <w:szCs w:val="22"/>
              </w:rPr>
              <w:t xml:space="preserve">Name: </w:t>
            </w:r>
            <w:r w:rsidRPr="00FF33B0">
              <w:rPr>
                <w:rFonts w:ascii="Calibri" w:eastAsia="Calibri" w:hAnsi="Calibri" w:cs="Calibri"/>
                <w:sz w:val="22"/>
                <w:szCs w:val="22"/>
                <w:u w:val="single"/>
              </w:rPr>
              <w:t xml:space="preserve">MaryAnn </w:t>
            </w:r>
            <w:r w:rsidR="00FF33B0" w:rsidRPr="00FF33B0">
              <w:rPr>
                <w:rFonts w:ascii="Calibri" w:eastAsia="Calibri" w:hAnsi="Calibri" w:cs="Calibri"/>
                <w:sz w:val="22"/>
                <w:szCs w:val="22"/>
                <w:u w:val="single"/>
              </w:rPr>
              <w:t>Ihejirika</w:t>
            </w:r>
          </w:p>
          <w:p w14:paraId="32FF94E1" w14:textId="77777777" w:rsidR="00EB47F0" w:rsidRDefault="00000000">
            <w:r>
              <w:rPr>
                <w:rFonts w:ascii="Calibri" w:eastAsia="Calibri" w:hAnsi="Calibri" w:cs="Calibri"/>
                <w:sz w:val="22"/>
                <w:szCs w:val="22"/>
              </w:rPr>
              <w:t>Title: Social Risk Responsible Person, SWDA</w:t>
            </w:r>
          </w:p>
        </w:tc>
      </w:tr>
    </w:tbl>
    <w:p w14:paraId="07BD0BE5" w14:textId="3CD7D85A" w:rsidR="00EB47F0" w:rsidRDefault="00EB47F0" w:rsidP="00FF33B0">
      <w:pPr>
        <w:spacing w:before="200"/>
      </w:pPr>
    </w:p>
    <w:sectPr w:rsidR="00EB47F0">
      <w:headerReference w:type="default" r:id="rId9"/>
      <w:footerReference w:type="default" r:id="rId1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71D34" w14:textId="77777777" w:rsidR="00243A2D" w:rsidRDefault="00243A2D">
      <w:r>
        <w:separator/>
      </w:r>
    </w:p>
  </w:endnote>
  <w:endnote w:type="continuationSeparator" w:id="0">
    <w:p w14:paraId="22C4D565" w14:textId="77777777" w:rsidR="00243A2D" w:rsidRDefault="00243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C3365" w14:textId="77777777" w:rsidR="00EB47F0" w:rsidRDefault="00000000">
    <w:pPr>
      <w:jc w:val="center"/>
    </w:pPr>
    <w:r>
      <w:rPr>
        <w:rFonts w:ascii="Calibri" w:eastAsia="Calibri" w:hAnsi="Calibri" w:cs="Calibri"/>
        <w:color w:val="666666"/>
        <w:sz w:val="16"/>
        <w:szCs w:val="16"/>
      </w:rPr>
      <w:t>South West Design Africa Ltd. (</w:t>
    </w:r>
    <w:proofErr w:type="gramStart"/>
    <w:r>
      <w:rPr>
        <w:rFonts w:ascii="Calibri" w:eastAsia="Calibri" w:hAnsi="Calibri" w:cs="Calibri"/>
        <w:color w:val="666666"/>
        <w:sz w:val="16"/>
        <w:szCs w:val="16"/>
      </w:rPr>
      <w:t>SWDA)  |</w:t>
    </w:r>
    <w:proofErr w:type="gramEnd"/>
    <w:r>
      <w:rPr>
        <w:rFonts w:ascii="Calibri" w:eastAsia="Calibri" w:hAnsi="Calibri" w:cs="Calibri"/>
        <w:color w:val="666666"/>
        <w:sz w:val="16"/>
        <w:szCs w:val="16"/>
      </w:rPr>
      <w:t xml:space="preserve">  Page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PAGE</w:instrText>
    </w:r>
    <w:r>
      <w:rPr>
        <w:rFonts w:ascii="Calibri" w:eastAsia="Calibri" w:hAnsi="Calibri" w:cs="Calibri"/>
        <w:color w:val="666666"/>
        <w:sz w:val="16"/>
        <w:szCs w:val="16"/>
      </w:rPr>
      <w:fldChar w:fldCharType="separate"/>
    </w:r>
    <w:r w:rsidR="002B7CA0">
      <w:rPr>
        <w:rFonts w:ascii="Calibri" w:eastAsia="Calibri" w:hAnsi="Calibri" w:cs="Calibri"/>
        <w:noProof/>
        <w:color w:val="666666"/>
        <w:sz w:val="16"/>
        <w:szCs w:val="16"/>
      </w:rPr>
      <w:t>1</w:t>
    </w:r>
    <w:r>
      <w:rPr>
        <w:rFonts w:ascii="Calibri" w:eastAsia="Calibri" w:hAnsi="Calibri" w:cs="Calibri"/>
        <w:color w:val="666666"/>
        <w:sz w:val="16"/>
        <w:szCs w:val="16"/>
      </w:rPr>
      <w:fldChar w:fldCharType="end"/>
    </w:r>
    <w:r>
      <w:rPr>
        <w:rFonts w:ascii="Calibri" w:eastAsia="Calibri" w:hAnsi="Calibri" w:cs="Calibri"/>
        <w:color w:val="666666"/>
        <w:sz w:val="16"/>
        <w:szCs w:val="16"/>
      </w:rPr>
      <w:t xml:space="preserve"> of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NUMPAGES</w:instrText>
    </w:r>
    <w:r>
      <w:rPr>
        <w:rFonts w:ascii="Calibri" w:eastAsia="Calibri" w:hAnsi="Calibri" w:cs="Calibri"/>
        <w:color w:val="666666"/>
        <w:sz w:val="16"/>
        <w:szCs w:val="16"/>
      </w:rPr>
      <w:fldChar w:fldCharType="separate"/>
    </w:r>
    <w:r w:rsidR="002B7CA0">
      <w:rPr>
        <w:rFonts w:ascii="Calibri" w:eastAsia="Calibri" w:hAnsi="Calibri" w:cs="Calibri"/>
        <w:noProof/>
        <w:color w:val="666666"/>
        <w:sz w:val="16"/>
        <w:szCs w:val="16"/>
      </w:rPr>
      <w:t>2</w:t>
    </w:r>
    <w:r>
      <w:rPr>
        <w:rFonts w:ascii="Calibri" w:eastAsia="Calibri" w:hAnsi="Calibri" w:cs="Calibri"/>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4347D" w14:textId="77777777" w:rsidR="00243A2D" w:rsidRDefault="00243A2D">
      <w:r>
        <w:separator/>
      </w:r>
    </w:p>
  </w:footnote>
  <w:footnote w:type="continuationSeparator" w:id="0">
    <w:p w14:paraId="328EDC34" w14:textId="77777777" w:rsidR="00243A2D" w:rsidRDefault="00243A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C3324" w14:textId="77777777" w:rsidR="00EB47F0" w:rsidRDefault="00000000">
    <w:pPr>
      <w:pBdr>
        <w:bottom w:val="single" w:sz="6" w:space="4" w:color="1F3864"/>
      </w:pBdr>
      <w:jc w:val="center"/>
    </w:pPr>
    <w:r>
      <w:rPr>
        <w:rFonts w:ascii="Calibri" w:eastAsia="Calibri" w:hAnsi="Calibri" w:cs="Calibri"/>
        <w:i/>
        <w:iCs/>
        <w:color w:val="666666"/>
        <w:sz w:val="16"/>
        <w:szCs w:val="16"/>
      </w:rPr>
      <w:t>SWDA – Social Risk Procedure &amp; Policy (supports HSEP Sec. 4.3.5)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CB7884"/>
    <w:multiLevelType w:val="hybridMultilevel"/>
    <w:tmpl w:val="35EE4B62"/>
    <w:lvl w:ilvl="0" w:tplc="68CE42CE">
      <w:start w:val="1"/>
      <w:numFmt w:val="bullet"/>
      <w:lvlText w:val="●"/>
      <w:lvlJc w:val="left"/>
      <w:pPr>
        <w:ind w:left="720" w:hanging="360"/>
      </w:pPr>
    </w:lvl>
    <w:lvl w:ilvl="1" w:tplc="5770E4E2">
      <w:start w:val="1"/>
      <w:numFmt w:val="bullet"/>
      <w:lvlText w:val="○"/>
      <w:lvlJc w:val="left"/>
      <w:pPr>
        <w:ind w:left="1440" w:hanging="360"/>
      </w:pPr>
    </w:lvl>
    <w:lvl w:ilvl="2" w:tplc="60087AE4">
      <w:start w:val="1"/>
      <w:numFmt w:val="bullet"/>
      <w:lvlText w:val="■"/>
      <w:lvlJc w:val="left"/>
      <w:pPr>
        <w:ind w:left="2160" w:hanging="360"/>
      </w:pPr>
    </w:lvl>
    <w:lvl w:ilvl="3" w:tplc="F04E767C">
      <w:start w:val="1"/>
      <w:numFmt w:val="bullet"/>
      <w:lvlText w:val="●"/>
      <w:lvlJc w:val="left"/>
      <w:pPr>
        <w:ind w:left="2880" w:hanging="360"/>
      </w:pPr>
    </w:lvl>
    <w:lvl w:ilvl="4" w:tplc="01FC7B56">
      <w:start w:val="1"/>
      <w:numFmt w:val="bullet"/>
      <w:lvlText w:val="○"/>
      <w:lvlJc w:val="left"/>
      <w:pPr>
        <w:ind w:left="3600" w:hanging="360"/>
      </w:pPr>
    </w:lvl>
    <w:lvl w:ilvl="5" w:tplc="27D69E3C">
      <w:start w:val="1"/>
      <w:numFmt w:val="bullet"/>
      <w:lvlText w:val="■"/>
      <w:lvlJc w:val="left"/>
      <w:pPr>
        <w:ind w:left="4320" w:hanging="360"/>
      </w:pPr>
    </w:lvl>
    <w:lvl w:ilvl="6" w:tplc="00C251DC">
      <w:start w:val="1"/>
      <w:numFmt w:val="bullet"/>
      <w:lvlText w:val="●"/>
      <w:lvlJc w:val="left"/>
      <w:pPr>
        <w:ind w:left="5040" w:hanging="360"/>
      </w:pPr>
    </w:lvl>
    <w:lvl w:ilvl="7" w:tplc="C71CF770">
      <w:start w:val="1"/>
      <w:numFmt w:val="bullet"/>
      <w:lvlText w:val="●"/>
      <w:lvlJc w:val="left"/>
      <w:pPr>
        <w:ind w:left="5760" w:hanging="360"/>
      </w:pPr>
    </w:lvl>
    <w:lvl w:ilvl="8" w:tplc="3DAA1914">
      <w:start w:val="1"/>
      <w:numFmt w:val="bullet"/>
      <w:lvlText w:val="●"/>
      <w:lvlJc w:val="left"/>
      <w:pPr>
        <w:ind w:left="6480" w:hanging="360"/>
      </w:pPr>
    </w:lvl>
  </w:abstractNum>
  <w:abstractNum w:abstractNumId="1" w15:restartNumberingAfterBreak="0">
    <w:nsid w:val="42B26E57"/>
    <w:multiLevelType w:val="hybridMultilevel"/>
    <w:tmpl w:val="93E671D4"/>
    <w:lvl w:ilvl="0" w:tplc="562656CC">
      <w:start w:val="1"/>
      <w:numFmt w:val="bullet"/>
      <w:lvlText w:val="•"/>
      <w:lvlJc w:val="left"/>
      <w:pPr>
        <w:ind w:left="460" w:hanging="260"/>
      </w:pPr>
    </w:lvl>
    <w:lvl w:ilvl="1" w:tplc="4B02EAFC">
      <w:numFmt w:val="decimal"/>
      <w:lvlText w:val=""/>
      <w:lvlJc w:val="left"/>
    </w:lvl>
    <w:lvl w:ilvl="2" w:tplc="44502EE2">
      <w:numFmt w:val="decimal"/>
      <w:lvlText w:val=""/>
      <w:lvlJc w:val="left"/>
    </w:lvl>
    <w:lvl w:ilvl="3" w:tplc="FB7ED618">
      <w:numFmt w:val="decimal"/>
      <w:lvlText w:val=""/>
      <w:lvlJc w:val="left"/>
    </w:lvl>
    <w:lvl w:ilvl="4" w:tplc="1020F542">
      <w:numFmt w:val="decimal"/>
      <w:lvlText w:val=""/>
      <w:lvlJc w:val="left"/>
    </w:lvl>
    <w:lvl w:ilvl="5" w:tplc="7BC6F96E">
      <w:numFmt w:val="decimal"/>
      <w:lvlText w:val=""/>
      <w:lvlJc w:val="left"/>
    </w:lvl>
    <w:lvl w:ilvl="6" w:tplc="736A262C">
      <w:numFmt w:val="decimal"/>
      <w:lvlText w:val=""/>
      <w:lvlJc w:val="left"/>
    </w:lvl>
    <w:lvl w:ilvl="7" w:tplc="E8B4F9DE">
      <w:numFmt w:val="decimal"/>
      <w:lvlText w:val=""/>
      <w:lvlJc w:val="left"/>
    </w:lvl>
    <w:lvl w:ilvl="8" w:tplc="6070FEE0">
      <w:numFmt w:val="decimal"/>
      <w:lvlText w:val=""/>
      <w:lvlJc w:val="left"/>
    </w:lvl>
  </w:abstractNum>
  <w:num w:numId="1" w16cid:durableId="827752197">
    <w:abstractNumId w:val="0"/>
    <w:lvlOverride w:ilvl="0">
      <w:startOverride w:val="1"/>
    </w:lvlOverride>
  </w:num>
  <w:num w:numId="2" w16cid:durableId="95193468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47F0"/>
    <w:rsid w:val="00197840"/>
    <w:rsid w:val="001B3B7C"/>
    <w:rsid w:val="00243A2D"/>
    <w:rsid w:val="002B7CA0"/>
    <w:rsid w:val="00345256"/>
    <w:rsid w:val="009B021A"/>
    <w:rsid w:val="009B38B5"/>
    <w:rsid w:val="00EB47F0"/>
    <w:rsid w:val="00FF33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489FA"/>
  <w15:docId w15:val="{99A451C6-D12E-426C-883E-216D88002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1406</Words>
  <Characters>8018</Characters>
  <Application>Microsoft Office Word</Application>
  <DocSecurity>0</DocSecurity>
  <Lines>66</Lines>
  <Paragraphs>18</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
      <vt:lpstr>1.0  PURPOSE</vt:lpstr>
      <vt:lpstr>2.0  SCOPE</vt:lpstr>
      <vt:lpstr>3.0  DEFINITIONS</vt:lpstr>
      <vt:lpstr>4.0  RESPONSIBILITIES</vt:lpstr>
      <vt:lpstr>5.0  SOCIAL RISK CATEGORIES</vt:lpstr>
      <vt:lpstr>6.0  RISK SCREENING &amp; ESCALATION MATRIX</vt:lpstr>
      <vt:lpstr>7.0  SOCIAL RISK PROCESS</vt:lpstr>
      <vt:lpstr>8.0  SOCIAL RISK REGISTER</vt:lpstr>
      <vt:lpstr>9.0  REPORTING &amp; REVIEW</vt:lpstr>
      <vt:lpstr>10.0  RELATED DOCUMENTS</vt:lpstr>
    </vt:vector>
  </TitlesOfParts>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Maryann Ihejirika</cp:lastModifiedBy>
  <cp:revision>5</cp:revision>
  <dcterms:created xsi:type="dcterms:W3CDTF">2026-08-04T14:01:00Z</dcterms:created>
  <dcterms:modified xsi:type="dcterms:W3CDTF">2026-08-05T09:55:00Z</dcterms:modified>
</cp:coreProperties>
</file>