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36339" w14:textId="08F39B53" w:rsidR="00091F0A" w:rsidRDefault="00000000" w:rsidP="00BE5DA7">
      <w:pPr>
        <w:spacing w:after="60"/>
        <w:jc w:val="center"/>
      </w:pPr>
      <w:r>
        <w:rPr>
          <w:rFonts w:ascii="Calibri" w:eastAsia="Calibri" w:hAnsi="Calibri" w:cs="Calibri"/>
          <w:b/>
          <w:bCs/>
          <w:color w:val="1F3864"/>
          <w:sz w:val="30"/>
          <w:szCs w:val="30"/>
        </w:rPr>
        <w:t>SOUTH WEST DESIGN AFRICA LTD. (SWDA)</w:t>
      </w:r>
    </w:p>
    <w:p w14:paraId="566255DA" w14:textId="77777777" w:rsidR="00091F0A" w:rsidRDefault="00000000">
      <w:pPr>
        <w:pBdr>
          <w:bottom w:val="single" w:sz="16" w:space="6" w:color="B08A2E"/>
        </w:pBdr>
        <w:spacing w:after="300"/>
        <w:jc w:val="center"/>
      </w:pPr>
      <w:r>
        <w:rPr>
          <w:rFonts w:ascii="Calibri" w:eastAsia="Calibri" w:hAnsi="Calibri" w:cs="Calibri"/>
          <w:b/>
          <w:bCs/>
          <w:color w:val="1F3864"/>
          <w:sz w:val="26"/>
          <w:szCs w:val="26"/>
        </w:rPr>
        <w:t>MANAGEMENT OF CHANGE (MOC) PROCEDURE</w:t>
      </w:r>
    </w:p>
    <w:p w14:paraId="1584655D" w14:textId="0284729A" w:rsidR="00091F0A" w:rsidRDefault="00000000">
      <w:pPr>
        <w:spacing w:after="200"/>
        <w:jc w:val="center"/>
      </w:pPr>
      <w:r>
        <w:rPr>
          <w:rFonts w:ascii="Calibri" w:eastAsia="Calibri" w:hAnsi="Calibri" w:cs="Calibri"/>
          <w:i/>
          <w:iCs/>
          <w:color w:val="555555"/>
        </w:rPr>
        <w:t xml:space="preserve">Document Ref.: SWDA-HSE-PROC-04.5.1      |      Rev. 00      |      </w:t>
      </w:r>
      <w:r w:rsidR="00BE5DA7">
        <w:rPr>
          <w:rFonts w:ascii="Calibri" w:eastAsia="Calibri" w:hAnsi="Calibri" w:cs="Calibri"/>
          <w:i/>
          <w:iCs/>
          <w:color w:val="555555"/>
        </w:rPr>
        <w:t>18</w:t>
      </w:r>
      <w:r>
        <w:rPr>
          <w:rFonts w:ascii="Calibri" w:eastAsia="Calibri" w:hAnsi="Calibri" w:cs="Calibri"/>
          <w:i/>
          <w:iCs/>
          <w:color w:val="555555"/>
        </w:rPr>
        <w:t xml:space="preserve"> August 202</w:t>
      </w:r>
      <w:r w:rsidR="00BE5DA7">
        <w:rPr>
          <w:rFonts w:ascii="Calibri" w:eastAsia="Calibri" w:hAnsi="Calibri" w:cs="Calibri"/>
          <w:i/>
          <w:iCs/>
          <w:color w:val="555555"/>
        </w:rPr>
        <w:t>5</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1300"/>
        <w:gridCol w:w="2950"/>
        <w:gridCol w:w="1400"/>
        <w:gridCol w:w="1400"/>
        <w:gridCol w:w="1400"/>
      </w:tblGrid>
      <w:tr w:rsidR="00091F0A" w14:paraId="4B3C3ED6" w14:textId="77777777">
        <w:trPr>
          <w:tblHeader/>
        </w:trPr>
        <w:tc>
          <w:tcPr>
            <w:tcW w:w="900" w:type="dxa"/>
            <w:shd w:val="clear" w:color="auto" w:fill="1F3864"/>
            <w:tcMar>
              <w:top w:w="80" w:type="dxa"/>
              <w:left w:w="100" w:type="dxa"/>
              <w:bottom w:w="80" w:type="dxa"/>
              <w:right w:w="100" w:type="dxa"/>
            </w:tcMar>
            <w:vAlign w:val="center"/>
          </w:tcPr>
          <w:p w14:paraId="13315A1C" w14:textId="77777777" w:rsidR="00091F0A" w:rsidRDefault="00000000">
            <w:pPr>
              <w:jc w:val="center"/>
            </w:pPr>
            <w:r>
              <w:rPr>
                <w:rFonts w:ascii="Calibri" w:eastAsia="Calibri" w:hAnsi="Calibri" w:cs="Calibri"/>
                <w:b/>
                <w:bCs/>
                <w:color w:val="FFFFFF"/>
              </w:rPr>
              <w:t>REV</w:t>
            </w:r>
          </w:p>
        </w:tc>
        <w:tc>
          <w:tcPr>
            <w:tcW w:w="1300" w:type="dxa"/>
            <w:shd w:val="clear" w:color="auto" w:fill="1F3864"/>
            <w:tcMar>
              <w:top w:w="80" w:type="dxa"/>
              <w:left w:w="100" w:type="dxa"/>
              <w:bottom w:w="80" w:type="dxa"/>
              <w:right w:w="100" w:type="dxa"/>
            </w:tcMar>
            <w:vAlign w:val="center"/>
          </w:tcPr>
          <w:p w14:paraId="675A95EC" w14:textId="77777777" w:rsidR="00091F0A" w:rsidRDefault="00000000">
            <w:pPr>
              <w:jc w:val="center"/>
            </w:pPr>
            <w:r>
              <w:rPr>
                <w:rFonts w:ascii="Calibri" w:eastAsia="Calibri" w:hAnsi="Calibri" w:cs="Calibri"/>
                <w:b/>
                <w:bCs/>
                <w:color w:val="FFFFFF"/>
              </w:rPr>
              <w:t>DATE</w:t>
            </w:r>
          </w:p>
        </w:tc>
        <w:tc>
          <w:tcPr>
            <w:tcW w:w="2950" w:type="dxa"/>
            <w:shd w:val="clear" w:color="auto" w:fill="1F3864"/>
            <w:tcMar>
              <w:top w:w="80" w:type="dxa"/>
              <w:left w:w="100" w:type="dxa"/>
              <w:bottom w:w="80" w:type="dxa"/>
              <w:right w:w="100" w:type="dxa"/>
            </w:tcMar>
            <w:vAlign w:val="center"/>
          </w:tcPr>
          <w:p w14:paraId="19366FF4" w14:textId="77777777" w:rsidR="00091F0A" w:rsidRDefault="00000000">
            <w:pPr>
              <w:jc w:val="center"/>
            </w:pPr>
            <w:r>
              <w:rPr>
                <w:rFonts w:ascii="Calibri" w:eastAsia="Calibri" w:hAnsi="Calibri" w:cs="Calibri"/>
                <w:b/>
                <w:bCs/>
                <w:color w:val="FFFFFF"/>
              </w:rPr>
              <w:t>DESCRIPTION</w:t>
            </w:r>
          </w:p>
        </w:tc>
        <w:tc>
          <w:tcPr>
            <w:tcW w:w="1400" w:type="dxa"/>
            <w:shd w:val="clear" w:color="auto" w:fill="1F3864"/>
            <w:tcMar>
              <w:top w:w="80" w:type="dxa"/>
              <w:left w:w="100" w:type="dxa"/>
              <w:bottom w:w="80" w:type="dxa"/>
              <w:right w:w="100" w:type="dxa"/>
            </w:tcMar>
            <w:vAlign w:val="center"/>
          </w:tcPr>
          <w:p w14:paraId="5871A8B9" w14:textId="77777777" w:rsidR="00091F0A" w:rsidRDefault="00000000">
            <w:pPr>
              <w:jc w:val="center"/>
            </w:pPr>
            <w:r>
              <w:rPr>
                <w:rFonts w:ascii="Calibri" w:eastAsia="Calibri" w:hAnsi="Calibri" w:cs="Calibri"/>
                <w:b/>
                <w:bCs/>
                <w:color w:val="FFFFFF"/>
              </w:rPr>
              <w:t>PREPARED</w:t>
            </w:r>
          </w:p>
        </w:tc>
        <w:tc>
          <w:tcPr>
            <w:tcW w:w="1400" w:type="dxa"/>
            <w:shd w:val="clear" w:color="auto" w:fill="1F3864"/>
            <w:tcMar>
              <w:top w:w="80" w:type="dxa"/>
              <w:left w:w="100" w:type="dxa"/>
              <w:bottom w:w="80" w:type="dxa"/>
              <w:right w:w="100" w:type="dxa"/>
            </w:tcMar>
            <w:vAlign w:val="center"/>
          </w:tcPr>
          <w:p w14:paraId="1B62AD2E" w14:textId="77777777" w:rsidR="00091F0A" w:rsidRDefault="00000000">
            <w:pPr>
              <w:jc w:val="center"/>
            </w:pPr>
            <w:r>
              <w:rPr>
                <w:rFonts w:ascii="Calibri" w:eastAsia="Calibri" w:hAnsi="Calibri" w:cs="Calibri"/>
                <w:b/>
                <w:bCs/>
                <w:color w:val="FFFFFF"/>
              </w:rPr>
              <w:t>REVIEWED</w:t>
            </w:r>
          </w:p>
        </w:tc>
        <w:tc>
          <w:tcPr>
            <w:tcW w:w="1400" w:type="dxa"/>
            <w:shd w:val="clear" w:color="auto" w:fill="1F3864"/>
            <w:tcMar>
              <w:top w:w="80" w:type="dxa"/>
              <w:left w:w="100" w:type="dxa"/>
              <w:bottom w:w="80" w:type="dxa"/>
              <w:right w:w="100" w:type="dxa"/>
            </w:tcMar>
            <w:vAlign w:val="center"/>
          </w:tcPr>
          <w:p w14:paraId="339A8DBC" w14:textId="77777777" w:rsidR="00091F0A" w:rsidRDefault="00000000">
            <w:pPr>
              <w:jc w:val="center"/>
            </w:pPr>
            <w:r>
              <w:rPr>
                <w:rFonts w:ascii="Calibri" w:eastAsia="Calibri" w:hAnsi="Calibri" w:cs="Calibri"/>
                <w:b/>
                <w:bCs/>
                <w:color w:val="FFFFFF"/>
              </w:rPr>
              <w:t>APPRVD</w:t>
            </w:r>
          </w:p>
        </w:tc>
      </w:tr>
      <w:tr w:rsidR="00091F0A" w14:paraId="1FC65BD5" w14:textId="77777777">
        <w:tc>
          <w:tcPr>
            <w:tcW w:w="900" w:type="dxa"/>
            <w:tcMar>
              <w:top w:w="80" w:type="dxa"/>
              <w:left w:w="100" w:type="dxa"/>
              <w:bottom w:w="80" w:type="dxa"/>
              <w:right w:w="100" w:type="dxa"/>
            </w:tcMar>
            <w:vAlign w:val="center"/>
          </w:tcPr>
          <w:p w14:paraId="614373E7" w14:textId="77777777" w:rsidR="00091F0A" w:rsidRDefault="00000000">
            <w:pPr>
              <w:jc w:val="center"/>
            </w:pPr>
            <w:r>
              <w:rPr>
                <w:rFonts w:ascii="Calibri" w:eastAsia="Calibri" w:hAnsi="Calibri" w:cs="Calibri"/>
                <w:color w:val="000000"/>
              </w:rPr>
              <w:t>00</w:t>
            </w:r>
          </w:p>
        </w:tc>
        <w:tc>
          <w:tcPr>
            <w:tcW w:w="1300" w:type="dxa"/>
            <w:tcMar>
              <w:top w:w="80" w:type="dxa"/>
              <w:left w:w="100" w:type="dxa"/>
              <w:bottom w:w="80" w:type="dxa"/>
              <w:right w:w="100" w:type="dxa"/>
            </w:tcMar>
            <w:vAlign w:val="center"/>
          </w:tcPr>
          <w:p w14:paraId="73C24ECA" w14:textId="5BB587E6" w:rsidR="00091F0A" w:rsidRDefault="00BE5DA7">
            <w:pPr>
              <w:jc w:val="center"/>
            </w:pPr>
            <w:r>
              <w:rPr>
                <w:rFonts w:ascii="Calibri" w:eastAsia="Calibri" w:hAnsi="Calibri" w:cs="Calibri"/>
                <w:color w:val="000000"/>
              </w:rPr>
              <w:t>18</w:t>
            </w:r>
            <w:r w:rsidR="00000000">
              <w:rPr>
                <w:rFonts w:ascii="Calibri" w:eastAsia="Calibri" w:hAnsi="Calibri" w:cs="Calibri"/>
                <w:color w:val="000000"/>
              </w:rPr>
              <w:t>/08/202</w:t>
            </w:r>
            <w:r>
              <w:rPr>
                <w:rFonts w:ascii="Calibri" w:eastAsia="Calibri" w:hAnsi="Calibri" w:cs="Calibri"/>
                <w:color w:val="000000"/>
              </w:rPr>
              <w:t>5</w:t>
            </w:r>
          </w:p>
        </w:tc>
        <w:tc>
          <w:tcPr>
            <w:tcW w:w="2950" w:type="dxa"/>
            <w:tcMar>
              <w:top w:w="80" w:type="dxa"/>
              <w:left w:w="100" w:type="dxa"/>
              <w:bottom w:w="80" w:type="dxa"/>
              <w:right w:w="100" w:type="dxa"/>
            </w:tcMar>
            <w:vAlign w:val="center"/>
          </w:tcPr>
          <w:p w14:paraId="00558E7A" w14:textId="77777777" w:rsidR="00091F0A" w:rsidRDefault="00000000">
            <w:r>
              <w:rPr>
                <w:rFonts w:ascii="Calibri" w:eastAsia="Calibri" w:hAnsi="Calibri" w:cs="Calibri"/>
                <w:color w:val="000000"/>
              </w:rPr>
              <w:t>Issued as new SWDA Management of Change (MOC) Procedure (supports HSEP Section 4.5)</w:t>
            </w:r>
          </w:p>
        </w:tc>
        <w:tc>
          <w:tcPr>
            <w:tcW w:w="1400" w:type="dxa"/>
            <w:tcMar>
              <w:top w:w="80" w:type="dxa"/>
              <w:left w:w="100" w:type="dxa"/>
              <w:bottom w:w="80" w:type="dxa"/>
              <w:right w:w="100" w:type="dxa"/>
            </w:tcMar>
            <w:vAlign w:val="center"/>
          </w:tcPr>
          <w:p w14:paraId="6D4791CB" w14:textId="0505818D" w:rsidR="00091F0A" w:rsidRPr="00BE5DA7" w:rsidRDefault="00BE5DA7">
            <w:pPr>
              <w:jc w:val="center"/>
              <w:rPr>
                <w:rFonts w:asciiTheme="minorHAnsi" w:hAnsiTheme="minorHAnsi" w:cstheme="minorHAnsi"/>
              </w:rPr>
            </w:pPr>
            <w:r w:rsidRPr="00BE5DA7">
              <w:rPr>
                <w:rFonts w:asciiTheme="minorHAnsi" w:hAnsiTheme="minorHAnsi" w:cstheme="minorHAnsi"/>
              </w:rPr>
              <w:t>MI</w:t>
            </w:r>
          </w:p>
        </w:tc>
        <w:tc>
          <w:tcPr>
            <w:tcW w:w="1400" w:type="dxa"/>
            <w:tcMar>
              <w:top w:w="80" w:type="dxa"/>
              <w:left w:w="100" w:type="dxa"/>
              <w:bottom w:w="80" w:type="dxa"/>
              <w:right w:w="100" w:type="dxa"/>
            </w:tcMar>
            <w:vAlign w:val="center"/>
          </w:tcPr>
          <w:p w14:paraId="6DB110C8" w14:textId="5147ED6F" w:rsidR="00091F0A" w:rsidRPr="00BE5DA7" w:rsidRDefault="00BE5DA7">
            <w:pPr>
              <w:jc w:val="center"/>
              <w:rPr>
                <w:rFonts w:asciiTheme="minorHAnsi" w:hAnsiTheme="minorHAnsi" w:cstheme="minorHAnsi"/>
              </w:rPr>
            </w:pPr>
            <w:r w:rsidRPr="00BE5DA7">
              <w:rPr>
                <w:rFonts w:asciiTheme="minorHAnsi" w:hAnsiTheme="minorHAnsi" w:cstheme="minorHAnsi"/>
              </w:rPr>
              <w:t>NEJ</w:t>
            </w:r>
          </w:p>
        </w:tc>
        <w:tc>
          <w:tcPr>
            <w:tcW w:w="1400" w:type="dxa"/>
            <w:tcMar>
              <w:top w:w="80" w:type="dxa"/>
              <w:left w:w="100" w:type="dxa"/>
              <w:bottom w:w="80" w:type="dxa"/>
              <w:right w:w="100" w:type="dxa"/>
            </w:tcMar>
            <w:vAlign w:val="center"/>
          </w:tcPr>
          <w:p w14:paraId="3CDDB06F" w14:textId="77777777" w:rsidR="00091F0A" w:rsidRDefault="00000000">
            <w:pPr>
              <w:jc w:val="center"/>
            </w:pPr>
            <w:r>
              <w:rPr>
                <w:rFonts w:ascii="Calibri" w:eastAsia="Calibri" w:hAnsi="Calibri" w:cs="Calibri"/>
                <w:color w:val="000000"/>
              </w:rPr>
              <w:t>GW</w:t>
            </w:r>
          </w:p>
        </w:tc>
      </w:tr>
    </w:tbl>
    <w:p w14:paraId="17BDB520" w14:textId="77777777" w:rsidR="00091F0A" w:rsidRDefault="00091F0A">
      <w:pPr>
        <w:spacing w:after="20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50"/>
      </w:tblGrid>
      <w:tr w:rsidR="00091F0A" w14:paraId="4C201C8C" w14:textId="77777777">
        <w:tc>
          <w:tcPr>
            <w:tcW w:w="9350" w:type="dxa"/>
            <w:shd w:val="clear" w:color="auto" w:fill="FBF6E9"/>
            <w:tcMar>
              <w:top w:w="160" w:type="dxa"/>
              <w:left w:w="200" w:type="dxa"/>
              <w:bottom w:w="160" w:type="dxa"/>
              <w:right w:w="200" w:type="dxa"/>
            </w:tcMar>
          </w:tcPr>
          <w:p w14:paraId="63DA4FAF" w14:textId="77777777" w:rsidR="00091F0A" w:rsidRDefault="00000000">
            <w:pPr>
              <w:spacing w:after="80"/>
            </w:pPr>
            <w:r>
              <w:rPr>
                <w:rFonts w:ascii="Calibri" w:eastAsia="Calibri" w:hAnsi="Calibri" w:cs="Calibri"/>
                <w:b/>
                <w:bCs/>
                <w:color w:val="1F3864"/>
                <w:sz w:val="22"/>
                <w:szCs w:val="22"/>
              </w:rPr>
              <w:t>MANAGING DIRECTOR'S ENDORSEMENT</w:t>
            </w:r>
          </w:p>
          <w:p w14:paraId="492FDC38" w14:textId="77777777" w:rsidR="00091F0A" w:rsidRDefault="00000000">
            <w:pPr>
              <w:jc w:val="both"/>
            </w:pPr>
            <w:r>
              <w:rPr>
                <w:rFonts w:ascii="Calibri" w:eastAsia="Calibri" w:hAnsi="Calibri" w:cs="Calibri"/>
                <w:sz w:val="22"/>
                <w:szCs w:val="22"/>
              </w:rPr>
              <w:t>This Management of Change (MOC) Procedure is endorsed by the Managing Director of South West Design Africa Limited (SWDA) as a mandatory control document within the SWDA HSE Management System (HSE-MS). No change of the types described in Section 5 shall be implemented on the RAEC 18-Tank ATC/NME Cleaning Project, or on any other SWDA operation, without having first followed this Procedure.</w:t>
            </w:r>
          </w:p>
        </w:tc>
      </w:tr>
    </w:tbl>
    <w:p w14:paraId="06F3F64A" w14:textId="77777777" w:rsidR="00091F0A" w:rsidRDefault="00091F0A">
      <w:pPr>
        <w:spacing w:after="200"/>
      </w:pPr>
    </w:p>
    <w:p w14:paraId="583C16AD" w14:textId="77777777" w:rsidR="00091F0A" w:rsidRDefault="00000000">
      <w:pPr>
        <w:pStyle w:val="Heading1"/>
        <w:pBdr>
          <w:bottom w:val="single" w:sz="8" w:space="4" w:color="1F3864"/>
        </w:pBdr>
        <w:spacing w:before="400" w:after="200"/>
      </w:pPr>
      <w:proofErr w:type="gramStart"/>
      <w:r>
        <w:rPr>
          <w:rFonts w:ascii="Calibri" w:eastAsia="Calibri" w:hAnsi="Calibri" w:cs="Calibri"/>
          <w:b/>
          <w:bCs/>
          <w:color w:val="1F3864"/>
          <w:sz w:val="28"/>
          <w:szCs w:val="28"/>
        </w:rPr>
        <w:t>1.0  PURPOSE</w:t>
      </w:r>
      <w:proofErr w:type="gramEnd"/>
    </w:p>
    <w:p w14:paraId="143EC19E" w14:textId="77777777" w:rsidR="00091F0A" w:rsidRDefault="00000000">
      <w:pPr>
        <w:spacing w:after="140" w:line="276" w:lineRule="auto"/>
        <w:jc w:val="both"/>
      </w:pPr>
      <w:r>
        <w:rPr>
          <w:rFonts w:ascii="Calibri" w:eastAsia="Calibri" w:hAnsi="Calibri" w:cs="Calibri"/>
          <w:sz w:val="22"/>
          <w:szCs w:val="22"/>
        </w:rPr>
        <w:t xml:space="preserve">This Procedure establishes how South West Design Africa Limited (SWDA) identifies, assesses, approves, implements, and records changes to its personnel, </w:t>
      </w:r>
      <w:proofErr w:type="spellStart"/>
      <w:r>
        <w:rPr>
          <w:rFonts w:ascii="Calibri" w:eastAsia="Calibri" w:hAnsi="Calibri" w:cs="Calibri"/>
          <w:sz w:val="22"/>
          <w:szCs w:val="22"/>
        </w:rPr>
        <w:t>organisation</w:t>
      </w:r>
      <w:proofErr w:type="spellEnd"/>
      <w:r>
        <w:rPr>
          <w:rFonts w:ascii="Calibri" w:eastAsia="Calibri" w:hAnsi="Calibri" w:cs="Calibri"/>
          <w:sz w:val="22"/>
          <w:szCs w:val="22"/>
        </w:rPr>
        <w:t>, equipment, processes, procedures, materials, or work sites, so that no change is introduced that could create an unassessed or unmanaged Health, Safety or Environmental (HSE) risk. It ensures every change is reviewed at a level of scrutiny proportionate to its risk, and that Major/High-Risk changes receive the personal endorsement of the Managing Director before implementation.</w:t>
      </w:r>
    </w:p>
    <w:p w14:paraId="46968AE9" w14:textId="77777777" w:rsidR="00091F0A" w:rsidRDefault="00000000">
      <w:pPr>
        <w:spacing w:after="140" w:line="276" w:lineRule="auto"/>
        <w:jc w:val="both"/>
      </w:pPr>
      <w:r>
        <w:rPr>
          <w:rFonts w:ascii="Calibri" w:eastAsia="Calibri" w:hAnsi="Calibri" w:cs="Calibri"/>
          <w:sz w:val="22"/>
          <w:szCs w:val="22"/>
        </w:rPr>
        <w:t>This Procedure supports and expands upon Section 4.4 (Hazard &amp; Effects Management Process), Section 4.5 (HSE Planning &amp; Procedures) and Section 3.7 (Site-Specific HSE Plan) of the SWDA-Renaissance HSEP, and works together with the SWDA Regulatory &amp; Standards Review Process (Ref. SWDA-HSE-PROC-04.3.6) for changes driven by new or amended regulations and standards.</w:t>
      </w:r>
    </w:p>
    <w:p w14:paraId="185BF58C" w14:textId="77777777" w:rsidR="00091F0A" w:rsidRDefault="00000000">
      <w:pPr>
        <w:pStyle w:val="Heading1"/>
        <w:pBdr>
          <w:bottom w:val="single" w:sz="8" w:space="4" w:color="1F3864"/>
        </w:pBdr>
        <w:spacing w:before="400" w:after="200"/>
      </w:pPr>
      <w:proofErr w:type="gramStart"/>
      <w:r>
        <w:rPr>
          <w:rFonts w:ascii="Calibri" w:eastAsia="Calibri" w:hAnsi="Calibri" w:cs="Calibri"/>
          <w:b/>
          <w:bCs/>
          <w:color w:val="1F3864"/>
          <w:sz w:val="28"/>
          <w:szCs w:val="28"/>
        </w:rPr>
        <w:t>2.0  SCOPE</w:t>
      </w:r>
      <w:proofErr w:type="gramEnd"/>
    </w:p>
    <w:p w14:paraId="1AE7BABA" w14:textId="77777777" w:rsidR="00091F0A" w:rsidRDefault="00000000">
      <w:pPr>
        <w:spacing w:after="140" w:line="276" w:lineRule="auto"/>
        <w:jc w:val="both"/>
      </w:pPr>
      <w:r>
        <w:rPr>
          <w:rFonts w:ascii="Calibri" w:eastAsia="Calibri" w:hAnsi="Calibri" w:cs="Calibri"/>
          <w:sz w:val="22"/>
          <w:szCs w:val="22"/>
        </w:rPr>
        <w:t>This Procedure applies to every proposed change — temporary or permanent, planned or emergency — to:</w:t>
      </w:r>
    </w:p>
    <w:p w14:paraId="46F33442" w14:textId="77777777" w:rsidR="00091F0A" w:rsidRDefault="00000000">
      <w:pPr>
        <w:pStyle w:val="ListParagraph"/>
        <w:numPr>
          <w:ilvl w:val="0"/>
          <w:numId w:val="2"/>
        </w:numPr>
        <w:spacing w:after="90" w:line="276" w:lineRule="auto"/>
      </w:pPr>
      <w:r>
        <w:rPr>
          <w:rFonts w:ascii="Calibri" w:eastAsia="Calibri" w:hAnsi="Calibri" w:cs="Calibri"/>
          <w:sz w:val="22"/>
          <w:szCs w:val="22"/>
        </w:rPr>
        <w:t xml:space="preserve">SWDA's </w:t>
      </w:r>
      <w:proofErr w:type="spellStart"/>
      <w:r>
        <w:rPr>
          <w:rFonts w:ascii="Calibri" w:eastAsia="Calibri" w:hAnsi="Calibri" w:cs="Calibri"/>
          <w:sz w:val="22"/>
          <w:szCs w:val="22"/>
        </w:rPr>
        <w:t>organisation</w:t>
      </w:r>
      <w:proofErr w:type="spellEnd"/>
      <w:r>
        <w:rPr>
          <w:rFonts w:ascii="Calibri" w:eastAsia="Calibri" w:hAnsi="Calibri" w:cs="Calibri"/>
          <w:sz w:val="22"/>
          <w:szCs w:val="22"/>
        </w:rPr>
        <w:t>, HSE-critical roles, staffing levels or Subcontractors (Ref. HSEP Fig. 1 &amp; 2);</w:t>
      </w:r>
    </w:p>
    <w:p w14:paraId="7B2894C6" w14:textId="77777777" w:rsidR="00091F0A" w:rsidRDefault="00000000">
      <w:pPr>
        <w:pStyle w:val="ListParagraph"/>
        <w:numPr>
          <w:ilvl w:val="0"/>
          <w:numId w:val="2"/>
        </w:numPr>
        <w:spacing w:after="90" w:line="276" w:lineRule="auto"/>
      </w:pPr>
      <w:r>
        <w:rPr>
          <w:rFonts w:ascii="Calibri" w:eastAsia="Calibri" w:hAnsi="Calibri" w:cs="Calibri"/>
          <w:sz w:val="22"/>
          <w:szCs w:val="22"/>
        </w:rPr>
        <w:t>Tank Cleaning (ATC/NME) equipment, the BLABO System, or any HSE-critical / safety-critical equipment (Ref. HSEP Attach. 1 &amp; 2);</w:t>
      </w:r>
    </w:p>
    <w:p w14:paraId="5EE07719" w14:textId="77777777" w:rsidR="00091F0A" w:rsidRDefault="00000000">
      <w:pPr>
        <w:pStyle w:val="ListParagraph"/>
        <w:numPr>
          <w:ilvl w:val="0"/>
          <w:numId w:val="2"/>
        </w:numPr>
        <w:spacing w:after="90" w:line="276" w:lineRule="auto"/>
      </w:pPr>
      <w:r>
        <w:rPr>
          <w:rFonts w:ascii="Calibri" w:eastAsia="Calibri" w:hAnsi="Calibri" w:cs="Calibri"/>
          <w:sz w:val="22"/>
          <w:szCs w:val="22"/>
        </w:rPr>
        <w:t>Processes, procedures, JS/HA, Permits-to-Work, or the Project HSEP / Site-Specific HSE Plans (Ref. HSEP Sec. 3.6, 3.7);</w:t>
      </w:r>
    </w:p>
    <w:p w14:paraId="6445EDFF" w14:textId="77777777" w:rsidR="00091F0A" w:rsidRDefault="00000000">
      <w:pPr>
        <w:pStyle w:val="ListParagraph"/>
        <w:numPr>
          <w:ilvl w:val="0"/>
          <w:numId w:val="2"/>
        </w:numPr>
        <w:spacing w:after="90" w:line="276" w:lineRule="auto"/>
      </w:pPr>
      <w:r>
        <w:rPr>
          <w:rFonts w:ascii="Calibri" w:eastAsia="Calibri" w:hAnsi="Calibri" w:cs="Calibri"/>
          <w:sz w:val="22"/>
          <w:szCs w:val="22"/>
        </w:rPr>
        <w:lastRenderedPageBreak/>
        <w:t>Chemicals, consumables or materials used on the Project (Ref. HSEP Table 3);</w:t>
      </w:r>
    </w:p>
    <w:p w14:paraId="69C82966" w14:textId="77777777" w:rsidR="00091F0A" w:rsidRDefault="00000000">
      <w:pPr>
        <w:pStyle w:val="ListParagraph"/>
        <w:numPr>
          <w:ilvl w:val="0"/>
          <w:numId w:val="2"/>
        </w:numPr>
        <w:spacing w:after="90" w:line="276" w:lineRule="auto"/>
      </w:pPr>
      <w:r>
        <w:rPr>
          <w:rFonts w:ascii="Calibri" w:eastAsia="Calibri" w:hAnsi="Calibri" w:cs="Calibri"/>
          <w:sz w:val="22"/>
          <w:szCs w:val="22"/>
        </w:rPr>
        <w:t>A Tank Site, facility, or Journey Management route; and,</w:t>
      </w:r>
    </w:p>
    <w:p w14:paraId="3EE91F1F" w14:textId="77777777" w:rsidR="00091F0A" w:rsidRDefault="00000000">
      <w:pPr>
        <w:pStyle w:val="ListParagraph"/>
        <w:numPr>
          <w:ilvl w:val="0"/>
          <w:numId w:val="2"/>
        </w:numPr>
        <w:spacing w:after="90" w:line="276" w:lineRule="auto"/>
      </w:pPr>
      <w:r>
        <w:rPr>
          <w:rFonts w:ascii="Calibri" w:eastAsia="Calibri" w:hAnsi="Calibri" w:cs="Calibri"/>
          <w:sz w:val="22"/>
          <w:szCs w:val="22"/>
        </w:rPr>
        <w:t>Any requirement arising from the SWDA Regulatory &amp; Standards Review Process.</w:t>
      </w:r>
    </w:p>
    <w:p w14:paraId="105BC5C7" w14:textId="77777777" w:rsidR="00091F0A" w:rsidRDefault="00000000">
      <w:pPr>
        <w:spacing w:after="140" w:line="276" w:lineRule="auto"/>
        <w:jc w:val="both"/>
      </w:pPr>
      <w:r>
        <w:rPr>
          <w:rFonts w:ascii="Calibri" w:eastAsia="Calibri" w:hAnsi="Calibri" w:cs="Calibri"/>
          <w:sz w:val="22"/>
          <w:szCs w:val="22"/>
        </w:rPr>
        <w:t>It applies to all SWDA Employees, Contractors and Subcontractors engaged on the RAEC 18-Tank ATC/NME Tank Cleaning Project and on SWDA's other operations.</w:t>
      </w:r>
    </w:p>
    <w:p w14:paraId="2BBF0AC8" w14:textId="77777777" w:rsidR="00091F0A" w:rsidRDefault="00000000">
      <w:pPr>
        <w:pStyle w:val="Heading1"/>
        <w:pBdr>
          <w:bottom w:val="single" w:sz="8" w:space="4" w:color="1F3864"/>
        </w:pBdr>
        <w:spacing w:before="400" w:after="200"/>
      </w:pPr>
      <w:proofErr w:type="gramStart"/>
      <w:r>
        <w:rPr>
          <w:rFonts w:ascii="Calibri" w:eastAsia="Calibri" w:hAnsi="Calibri" w:cs="Calibri"/>
          <w:b/>
          <w:bCs/>
          <w:color w:val="1F3864"/>
          <w:sz w:val="28"/>
          <w:szCs w:val="28"/>
        </w:rPr>
        <w:t>3.0  DEFINITIONS</w:t>
      </w:r>
      <w:proofErr w:type="gramEnd"/>
    </w:p>
    <w:p w14:paraId="5B0D69EE" w14:textId="77777777" w:rsidR="00091F0A" w:rsidRDefault="00000000">
      <w:pPr>
        <w:pStyle w:val="ListParagraph"/>
        <w:numPr>
          <w:ilvl w:val="0"/>
          <w:numId w:val="2"/>
        </w:numPr>
        <w:spacing w:after="90" w:line="276" w:lineRule="auto"/>
      </w:pPr>
      <w:r>
        <w:rPr>
          <w:rFonts w:ascii="Calibri" w:eastAsia="Calibri" w:hAnsi="Calibri" w:cs="Calibri"/>
          <w:sz w:val="22"/>
          <w:szCs w:val="22"/>
        </w:rPr>
        <w:t>Management of Change (MOC) — the structured process by which a proposed change is identified, risk-assessed, reviewed, approved, implemented and recorded before it takes effect.</w:t>
      </w:r>
    </w:p>
    <w:p w14:paraId="2CA5B00C" w14:textId="77777777" w:rsidR="00091F0A" w:rsidRDefault="00000000">
      <w:pPr>
        <w:pStyle w:val="ListParagraph"/>
        <w:numPr>
          <w:ilvl w:val="0"/>
          <w:numId w:val="2"/>
        </w:numPr>
        <w:spacing w:after="90" w:line="276" w:lineRule="auto"/>
      </w:pPr>
      <w:r>
        <w:rPr>
          <w:rFonts w:ascii="Calibri" w:eastAsia="Calibri" w:hAnsi="Calibri" w:cs="Calibri"/>
          <w:sz w:val="22"/>
          <w:szCs w:val="22"/>
        </w:rPr>
        <w:t>MOCR — Management of Change Request, the form used to initiate and document an MOC from raising through to close-out.</w:t>
      </w:r>
    </w:p>
    <w:p w14:paraId="6B5F7501" w14:textId="77777777" w:rsidR="00091F0A" w:rsidRDefault="00000000">
      <w:pPr>
        <w:pStyle w:val="ListParagraph"/>
        <w:numPr>
          <w:ilvl w:val="0"/>
          <w:numId w:val="2"/>
        </w:numPr>
        <w:spacing w:after="90" w:line="276" w:lineRule="auto"/>
      </w:pPr>
      <w:r>
        <w:rPr>
          <w:rFonts w:ascii="Calibri" w:eastAsia="Calibri" w:hAnsi="Calibri" w:cs="Calibri"/>
          <w:sz w:val="22"/>
          <w:szCs w:val="22"/>
        </w:rPr>
        <w:t>Replacement-in-Kind (RIK) — a like-for-like replacement of equipment, material or personnel with an item/person of the same specification, function and performance, which does not introduce new risk and is therefore excluded from full MOC review (Ref. Section 7).</w:t>
      </w:r>
    </w:p>
    <w:p w14:paraId="48188D7E" w14:textId="77777777" w:rsidR="00091F0A" w:rsidRDefault="00000000">
      <w:pPr>
        <w:pStyle w:val="ListParagraph"/>
        <w:numPr>
          <w:ilvl w:val="0"/>
          <w:numId w:val="2"/>
        </w:numPr>
        <w:spacing w:after="90" w:line="276" w:lineRule="auto"/>
      </w:pPr>
      <w:r>
        <w:rPr>
          <w:rFonts w:ascii="Calibri" w:eastAsia="Calibri" w:hAnsi="Calibri" w:cs="Calibri"/>
          <w:sz w:val="22"/>
          <w:szCs w:val="22"/>
        </w:rPr>
        <w:t>Temporary Change — a change intended to apply for a defined period only, after which it must revert to the original condition or be converted to a Permanent Change through this Procedure.</w:t>
      </w:r>
    </w:p>
    <w:p w14:paraId="70F8E46D" w14:textId="77777777" w:rsidR="00091F0A" w:rsidRDefault="00000000">
      <w:pPr>
        <w:pStyle w:val="ListParagraph"/>
        <w:numPr>
          <w:ilvl w:val="0"/>
          <w:numId w:val="2"/>
        </w:numPr>
        <w:spacing w:after="90" w:line="276" w:lineRule="auto"/>
      </w:pPr>
      <w:r>
        <w:rPr>
          <w:rFonts w:ascii="Calibri" w:eastAsia="Calibri" w:hAnsi="Calibri" w:cs="Calibri"/>
          <w:sz w:val="22"/>
          <w:szCs w:val="22"/>
        </w:rPr>
        <w:t>Emergency Change — a change implemented immediately to protect people, environment or assets, subject to retrospective MOC documentation and review (Ref. Section 9).</w:t>
      </w:r>
    </w:p>
    <w:p w14:paraId="176018A5" w14:textId="77777777" w:rsidR="00091F0A" w:rsidRDefault="00000000">
      <w:pPr>
        <w:pStyle w:val="ListParagraph"/>
        <w:numPr>
          <w:ilvl w:val="0"/>
          <w:numId w:val="2"/>
        </w:numPr>
        <w:spacing w:after="90" w:line="276" w:lineRule="auto"/>
      </w:pPr>
      <w:r>
        <w:rPr>
          <w:rFonts w:ascii="Calibri" w:eastAsia="Calibri" w:hAnsi="Calibri" w:cs="Calibri"/>
          <w:sz w:val="22"/>
          <w:szCs w:val="22"/>
        </w:rPr>
        <w:t xml:space="preserve">ALARP — As Low </w:t>
      </w:r>
      <w:proofErr w:type="gramStart"/>
      <w:r>
        <w:rPr>
          <w:rFonts w:ascii="Calibri" w:eastAsia="Calibri" w:hAnsi="Calibri" w:cs="Calibri"/>
          <w:sz w:val="22"/>
          <w:szCs w:val="22"/>
        </w:rPr>
        <w:t>As</w:t>
      </w:r>
      <w:proofErr w:type="gramEnd"/>
      <w:r>
        <w:rPr>
          <w:rFonts w:ascii="Calibri" w:eastAsia="Calibri" w:hAnsi="Calibri" w:cs="Calibri"/>
          <w:sz w:val="22"/>
          <w:szCs w:val="22"/>
        </w:rPr>
        <w:t xml:space="preserve"> Reasonably Practicable, consistent with its use in HSEP Section 4.4 (HEMP).</w:t>
      </w:r>
    </w:p>
    <w:p w14:paraId="5C9E2CE9" w14:textId="77777777" w:rsidR="00091F0A" w:rsidRDefault="00000000">
      <w:pPr>
        <w:pStyle w:val="Heading1"/>
        <w:pBdr>
          <w:bottom w:val="single" w:sz="8" w:space="4" w:color="1F3864"/>
        </w:pBdr>
        <w:spacing w:before="400" w:after="200"/>
      </w:pPr>
      <w:proofErr w:type="gramStart"/>
      <w:r>
        <w:rPr>
          <w:rFonts w:ascii="Calibri" w:eastAsia="Calibri" w:hAnsi="Calibri" w:cs="Calibri"/>
          <w:b/>
          <w:bCs/>
          <w:color w:val="1F3864"/>
          <w:sz w:val="28"/>
          <w:szCs w:val="28"/>
        </w:rPr>
        <w:t>4.0  RESPONSIBILITIES</w:t>
      </w:r>
      <w:proofErr w:type="gramEnd"/>
    </w:p>
    <w:p w14:paraId="3B2DBE9C" w14:textId="77777777" w:rsidR="00091F0A" w:rsidRDefault="00000000">
      <w:pPr>
        <w:spacing w:after="140" w:line="276" w:lineRule="auto"/>
        <w:jc w:val="both"/>
      </w:pPr>
      <w:r>
        <w:rPr>
          <w:rFonts w:ascii="Calibri" w:eastAsia="Calibri" w:hAnsi="Calibri" w:cs="Calibri"/>
          <w:sz w:val="22"/>
          <w:szCs w:val="22"/>
        </w:rPr>
        <w:t xml:space="preserve">Roles and responsibilities for operating this Procedure are </w:t>
      </w:r>
      <w:proofErr w:type="spellStart"/>
      <w:r>
        <w:rPr>
          <w:rFonts w:ascii="Calibri" w:eastAsia="Calibri" w:hAnsi="Calibri" w:cs="Calibri"/>
          <w:sz w:val="22"/>
          <w:szCs w:val="22"/>
        </w:rPr>
        <w:t>summarised</w:t>
      </w:r>
      <w:proofErr w:type="spellEnd"/>
      <w:r>
        <w:rPr>
          <w:rFonts w:ascii="Calibri" w:eastAsia="Calibri" w:hAnsi="Calibri" w:cs="Calibri"/>
          <w:sz w:val="22"/>
          <w:szCs w:val="22"/>
        </w:rPr>
        <w:t xml:space="preserve"> below, and are exercised consistently with the HSE </w:t>
      </w:r>
      <w:proofErr w:type="spellStart"/>
      <w:r>
        <w:rPr>
          <w:rFonts w:ascii="Calibri" w:eastAsia="Calibri" w:hAnsi="Calibri" w:cs="Calibri"/>
          <w:sz w:val="22"/>
          <w:szCs w:val="22"/>
        </w:rPr>
        <w:t>Organisation</w:t>
      </w:r>
      <w:proofErr w:type="spellEnd"/>
      <w:r>
        <w:rPr>
          <w:rFonts w:ascii="Calibri" w:eastAsia="Calibri" w:hAnsi="Calibri" w:cs="Calibri"/>
          <w:sz w:val="22"/>
          <w:szCs w:val="22"/>
        </w:rPr>
        <w:t xml:space="preserve"> described in HSEP Section 4.3.</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550"/>
      </w:tblGrid>
      <w:tr w:rsidR="00091F0A" w14:paraId="603308F4" w14:textId="77777777">
        <w:trPr>
          <w:tblHeader/>
        </w:trPr>
        <w:tc>
          <w:tcPr>
            <w:tcW w:w="2800" w:type="dxa"/>
            <w:shd w:val="clear" w:color="auto" w:fill="1F3864"/>
            <w:tcMar>
              <w:top w:w="80" w:type="dxa"/>
              <w:left w:w="100" w:type="dxa"/>
              <w:bottom w:w="80" w:type="dxa"/>
              <w:right w:w="100" w:type="dxa"/>
            </w:tcMar>
            <w:vAlign w:val="center"/>
          </w:tcPr>
          <w:p w14:paraId="64F649F3" w14:textId="77777777" w:rsidR="00091F0A" w:rsidRDefault="00000000">
            <w:r>
              <w:rPr>
                <w:rFonts w:ascii="Calibri" w:eastAsia="Calibri" w:hAnsi="Calibri" w:cs="Calibri"/>
                <w:b/>
                <w:bCs/>
                <w:color w:val="FFFFFF"/>
              </w:rPr>
              <w:t>ROLE</w:t>
            </w:r>
          </w:p>
        </w:tc>
        <w:tc>
          <w:tcPr>
            <w:tcW w:w="6550" w:type="dxa"/>
            <w:shd w:val="clear" w:color="auto" w:fill="1F3864"/>
            <w:tcMar>
              <w:top w:w="80" w:type="dxa"/>
              <w:left w:w="100" w:type="dxa"/>
              <w:bottom w:w="80" w:type="dxa"/>
              <w:right w:w="100" w:type="dxa"/>
            </w:tcMar>
            <w:vAlign w:val="center"/>
          </w:tcPr>
          <w:p w14:paraId="577FE2F7" w14:textId="77777777" w:rsidR="00091F0A" w:rsidRDefault="00000000">
            <w:r>
              <w:rPr>
                <w:rFonts w:ascii="Calibri" w:eastAsia="Calibri" w:hAnsi="Calibri" w:cs="Calibri"/>
                <w:b/>
                <w:bCs/>
                <w:color w:val="FFFFFF"/>
              </w:rPr>
              <w:t>MOC RESPONSIBILITY</w:t>
            </w:r>
          </w:p>
        </w:tc>
      </w:tr>
      <w:tr w:rsidR="00091F0A" w14:paraId="6B14D07E" w14:textId="77777777">
        <w:tc>
          <w:tcPr>
            <w:tcW w:w="2800" w:type="dxa"/>
            <w:shd w:val="clear" w:color="auto" w:fill="F2F2F2"/>
            <w:tcMar>
              <w:top w:w="80" w:type="dxa"/>
              <w:left w:w="100" w:type="dxa"/>
              <w:bottom w:w="80" w:type="dxa"/>
              <w:right w:w="100" w:type="dxa"/>
            </w:tcMar>
            <w:vAlign w:val="center"/>
          </w:tcPr>
          <w:p w14:paraId="20EB4FB6" w14:textId="77777777" w:rsidR="00091F0A" w:rsidRDefault="00000000">
            <w:r>
              <w:rPr>
                <w:rFonts w:ascii="Calibri" w:eastAsia="Calibri" w:hAnsi="Calibri" w:cs="Calibri"/>
                <w:b/>
                <w:bCs/>
                <w:color w:val="000000"/>
              </w:rPr>
              <w:t>Managing Director (MD)</w:t>
            </w:r>
          </w:p>
        </w:tc>
        <w:tc>
          <w:tcPr>
            <w:tcW w:w="6550" w:type="dxa"/>
            <w:shd w:val="clear" w:color="auto" w:fill="F2F2F2"/>
            <w:tcMar>
              <w:top w:w="80" w:type="dxa"/>
              <w:left w:w="100" w:type="dxa"/>
              <w:bottom w:w="80" w:type="dxa"/>
              <w:right w:w="100" w:type="dxa"/>
            </w:tcMar>
            <w:vAlign w:val="center"/>
          </w:tcPr>
          <w:p w14:paraId="7E5DAF23" w14:textId="77777777" w:rsidR="00091F0A" w:rsidRDefault="00000000">
            <w:r>
              <w:rPr>
                <w:rFonts w:ascii="Calibri" w:eastAsia="Calibri" w:hAnsi="Calibri" w:cs="Calibri"/>
                <w:color w:val="000000"/>
              </w:rPr>
              <w:t>Endorses this Procedure and the SWDA MOC Policy Statement (Section 13); holds final approval authority for all High-Risk / Major Changes; ensures adequate resources are made available to implement approved changes.</w:t>
            </w:r>
          </w:p>
        </w:tc>
      </w:tr>
      <w:tr w:rsidR="00091F0A" w14:paraId="7B9ED934" w14:textId="77777777">
        <w:tc>
          <w:tcPr>
            <w:tcW w:w="2800" w:type="dxa"/>
            <w:shd w:val="clear" w:color="auto" w:fill="FFFFFF"/>
            <w:tcMar>
              <w:top w:w="80" w:type="dxa"/>
              <w:left w:w="100" w:type="dxa"/>
              <w:bottom w:w="80" w:type="dxa"/>
              <w:right w:w="100" w:type="dxa"/>
            </w:tcMar>
            <w:vAlign w:val="center"/>
          </w:tcPr>
          <w:p w14:paraId="188F5881" w14:textId="77777777" w:rsidR="00091F0A" w:rsidRDefault="00000000">
            <w:r>
              <w:rPr>
                <w:rFonts w:ascii="Calibri" w:eastAsia="Calibri" w:hAnsi="Calibri" w:cs="Calibri"/>
                <w:b/>
                <w:bCs/>
                <w:color w:val="000000"/>
              </w:rPr>
              <w:t>Change Initiator (any Employee, Supervisor or Contractor)</w:t>
            </w:r>
          </w:p>
        </w:tc>
        <w:tc>
          <w:tcPr>
            <w:tcW w:w="6550" w:type="dxa"/>
            <w:shd w:val="clear" w:color="auto" w:fill="FFFFFF"/>
            <w:tcMar>
              <w:top w:w="80" w:type="dxa"/>
              <w:left w:w="100" w:type="dxa"/>
              <w:bottom w:w="80" w:type="dxa"/>
              <w:right w:w="100" w:type="dxa"/>
            </w:tcMar>
            <w:vAlign w:val="center"/>
          </w:tcPr>
          <w:p w14:paraId="4E43018A" w14:textId="77777777" w:rsidR="00091F0A" w:rsidRDefault="00000000">
            <w:r>
              <w:rPr>
                <w:rFonts w:ascii="Calibri" w:eastAsia="Calibri" w:hAnsi="Calibri" w:cs="Calibri"/>
                <w:color w:val="000000"/>
              </w:rPr>
              <w:t>Identifies the need for a change and raises a Management of Change Request (MOCR) Form before the change is implemented; provides supporting information and participates in the risk assessment.</w:t>
            </w:r>
          </w:p>
        </w:tc>
      </w:tr>
      <w:tr w:rsidR="00091F0A" w14:paraId="429AEC80" w14:textId="77777777">
        <w:tc>
          <w:tcPr>
            <w:tcW w:w="2800" w:type="dxa"/>
            <w:shd w:val="clear" w:color="auto" w:fill="F2F2F2"/>
            <w:tcMar>
              <w:top w:w="80" w:type="dxa"/>
              <w:left w:w="100" w:type="dxa"/>
              <w:bottom w:w="80" w:type="dxa"/>
              <w:right w:w="100" w:type="dxa"/>
            </w:tcMar>
            <w:vAlign w:val="center"/>
          </w:tcPr>
          <w:p w14:paraId="17FFAA70" w14:textId="77777777" w:rsidR="00091F0A" w:rsidRDefault="00000000">
            <w:r>
              <w:rPr>
                <w:rFonts w:ascii="Calibri" w:eastAsia="Calibri" w:hAnsi="Calibri" w:cs="Calibri"/>
                <w:b/>
                <w:bCs/>
                <w:color w:val="000000"/>
              </w:rPr>
              <w:t>Department / Project Manager</w:t>
            </w:r>
          </w:p>
        </w:tc>
        <w:tc>
          <w:tcPr>
            <w:tcW w:w="6550" w:type="dxa"/>
            <w:shd w:val="clear" w:color="auto" w:fill="F2F2F2"/>
            <w:tcMar>
              <w:top w:w="80" w:type="dxa"/>
              <w:left w:w="100" w:type="dxa"/>
              <w:bottom w:w="80" w:type="dxa"/>
              <w:right w:w="100" w:type="dxa"/>
            </w:tcMar>
            <w:vAlign w:val="center"/>
          </w:tcPr>
          <w:p w14:paraId="463A389E" w14:textId="77777777" w:rsidR="00091F0A" w:rsidRDefault="00000000">
            <w:r>
              <w:rPr>
                <w:rFonts w:ascii="Calibri" w:eastAsia="Calibri" w:hAnsi="Calibri" w:cs="Calibri"/>
                <w:color w:val="000000"/>
              </w:rPr>
              <w:t xml:space="preserve">Reviews and screens each MOCR raised within their area; </w:t>
            </w:r>
            <w:proofErr w:type="spellStart"/>
            <w:r>
              <w:rPr>
                <w:rFonts w:ascii="Calibri" w:eastAsia="Calibri" w:hAnsi="Calibri" w:cs="Calibri"/>
                <w:color w:val="000000"/>
              </w:rPr>
              <w:t>categorises</w:t>
            </w:r>
            <w:proofErr w:type="spellEnd"/>
            <w:r>
              <w:rPr>
                <w:rFonts w:ascii="Calibri" w:eastAsia="Calibri" w:hAnsi="Calibri" w:cs="Calibri"/>
                <w:color w:val="000000"/>
              </w:rPr>
              <w:t xml:space="preserve"> the risk level (Section 6); approves Low-Risk changes; escalates Medium- and High-Risk changes to the MOC Committee/MD.</w:t>
            </w:r>
          </w:p>
        </w:tc>
      </w:tr>
      <w:tr w:rsidR="00091F0A" w14:paraId="44A5B3AE" w14:textId="77777777">
        <w:tc>
          <w:tcPr>
            <w:tcW w:w="2800" w:type="dxa"/>
            <w:shd w:val="clear" w:color="auto" w:fill="FFFFFF"/>
            <w:tcMar>
              <w:top w:w="80" w:type="dxa"/>
              <w:left w:w="100" w:type="dxa"/>
              <w:bottom w:w="80" w:type="dxa"/>
              <w:right w:w="100" w:type="dxa"/>
            </w:tcMar>
            <w:vAlign w:val="center"/>
          </w:tcPr>
          <w:p w14:paraId="4C6FC1F1" w14:textId="77777777" w:rsidR="00091F0A" w:rsidRDefault="00000000">
            <w:r>
              <w:rPr>
                <w:rFonts w:ascii="Calibri" w:eastAsia="Calibri" w:hAnsi="Calibri" w:cs="Calibri"/>
                <w:b/>
                <w:bCs/>
                <w:color w:val="000000"/>
              </w:rPr>
              <w:t>HSE Manager / Management Representative</w:t>
            </w:r>
          </w:p>
        </w:tc>
        <w:tc>
          <w:tcPr>
            <w:tcW w:w="6550" w:type="dxa"/>
            <w:shd w:val="clear" w:color="auto" w:fill="FFFFFF"/>
            <w:tcMar>
              <w:top w:w="80" w:type="dxa"/>
              <w:left w:w="100" w:type="dxa"/>
              <w:bottom w:w="80" w:type="dxa"/>
              <w:right w:w="100" w:type="dxa"/>
            </w:tcMar>
            <w:vAlign w:val="center"/>
          </w:tcPr>
          <w:p w14:paraId="7670136A" w14:textId="77777777" w:rsidR="00091F0A" w:rsidRDefault="00000000">
            <w:r>
              <w:rPr>
                <w:rFonts w:ascii="Calibri" w:eastAsia="Calibri" w:hAnsi="Calibri" w:cs="Calibri"/>
                <w:color w:val="000000"/>
              </w:rPr>
              <w:t>Chairs the MOC Committee; verifies the risk assessment/HEMP is adequate; maintains the MOC Register; confirms HSE-MS documents (HSEP, JS/HA, Site-Specific HSE Plans) are updated before close-out.</w:t>
            </w:r>
          </w:p>
        </w:tc>
      </w:tr>
      <w:tr w:rsidR="00091F0A" w14:paraId="20A4AA6F" w14:textId="77777777">
        <w:tc>
          <w:tcPr>
            <w:tcW w:w="2800" w:type="dxa"/>
            <w:shd w:val="clear" w:color="auto" w:fill="F2F2F2"/>
            <w:tcMar>
              <w:top w:w="80" w:type="dxa"/>
              <w:left w:w="100" w:type="dxa"/>
              <w:bottom w:w="80" w:type="dxa"/>
              <w:right w:w="100" w:type="dxa"/>
            </w:tcMar>
            <w:vAlign w:val="center"/>
          </w:tcPr>
          <w:p w14:paraId="23EB02E3" w14:textId="77777777" w:rsidR="00091F0A" w:rsidRDefault="00000000">
            <w:r>
              <w:rPr>
                <w:rFonts w:ascii="Calibri" w:eastAsia="Calibri" w:hAnsi="Calibri" w:cs="Calibri"/>
                <w:b/>
                <w:bCs/>
                <w:color w:val="000000"/>
              </w:rPr>
              <w:t>MOC Committee (HSE Manager, Ops Manager, Project Manager, discipline leads as needed)</w:t>
            </w:r>
          </w:p>
        </w:tc>
        <w:tc>
          <w:tcPr>
            <w:tcW w:w="6550" w:type="dxa"/>
            <w:shd w:val="clear" w:color="auto" w:fill="F2F2F2"/>
            <w:tcMar>
              <w:top w:w="80" w:type="dxa"/>
              <w:left w:w="100" w:type="dxa"/>
              <w:bottom w:w="80" w:type="dxa"/>
              <w:right w:w="100" w:type="dxa"/>
            </w:tcMar>
            <w:vAlign w:val="center"/>
          </w:tcPr>
          <w:p w14:paraId="09DA8ECB" w14:textId="77777777" w:rsidR="00091F0A" w:rsidRDefault="00000000">
            <w:r>
              <w:rPr>
                <w:rFonts w:ascii="Calibri" w:eastAsia="Calibri" w:hAnsi="Calibri" w:cs="Calibri"/>
                <w:color w:val="000000"/>
              </w:rPr>
              <w:t>Reviews Medium- and High-Risk MOCRs; recommends approval, rejection or further risk-reduction measures; recommends High-Risk / Major changes to the MD for final sign-off.</w:t>
            </w:r>
          </w:p>
        </w:tc>
      </w:tr>
      <w:tr w:rsidR="00091F0A" w14:paraId="56073084" w14:textId="77777777">
        <w:tc>
          <w:tcPr>
            <w:tcW w:w="2800" w:type="dxa"/>
            <w:shd w:val="clear" w:color="auto" w:fill="FFFFFF"/>
            <w:tcMar>
              <w:top w:w="80" w:type="dxa"/>
              <w:left w:w="100" w:type="dxa"/>
              <w:bottom w:w="80" w:type="dxa"/>
              <w:right w:w="100" w:type="dxa"/>
            </w:tcMar>
            <w:vAlign w:val="center"/>
          </w:tcPr>
          <w:p w14:paraId="682B3000" w14:textId="77777777" w:rsidR="00091F0A" w:rsidRDefault="00000000">
            <w:r>
              <w:rPr>
                <w:rFonts w:ascii="Calibri" w:eastAsia="Calibri" w:hAnsi="Calibri" w:cs="Calibri"/>
                <w:b/>
                <w:bCs/>
                <w:color w:val="000000"/>
              </w:rPr>
              <w:t>Department / Line Supervisors</w:t>
            </w:r>
          </w:p>
        </w:tc>
        <w:tc>
          <w:tcPr>
            <w:tcW w:w="6550" w:type="dxa"/>
            <w:shd w:val="clear" w:color="auto" w:fill="FFFFFF"/>
            <w:tcMar>
              <w:top w:w="80" w:type="dxa"/>
              <w:left w:w="100" w:type="dxa"/>
              <w:bottom w:w="80" w:type="dxa"/>
              <w:right w:w="100" w:type="dxa"/>
            </w:tcMar>
            <w:vAlign w:val="center"/>
          </w:tcPr>
          <w:p w14:paraId="5BDD5B5F" w14:textId="77777777" w:rsidR="00091F0A" w:rsidRDefault="00000000">
            <w:r>
              <w:rPr>
                <w:rFonts w:ascii="Calibri" w:eastAsia="Calibri" w:hAnsi="Calibri" w:cs="Calibri"/>
                <w:color w:val="000000"/>
              </w:rPr>
              <w:t>Implement approved changes within their area; brief affected Employees and Contractors before the change goes live; confirm Replacement-in-Kind (RIK) items are logged.</w:t>
            </w:r>
          </w:p>
        </w:tc>
      </w:tr>
      <w:tr w:rsidR="00091F0A" w14:paraId="0617F4B9" w14:textId="77777777">
        <w:tc>
          <w:tcPr>
            <w:tcW w:w="2800" w:type="dxa"/>
            <w:shd w:val="clear" w:color="auto" w:fill="F2F2F2"/>
            <w:tcMar>
              <w:top w:w="80" w:type="dxa"/>
              <w:left w:w="100" w:type="dxa"/>
              <w:bottom w:w="80" w:type="dxa"/>
              <w:right w:w="100" w:type="dxa"/>
            </w:tcMar>
            <w:vAlign w:val="center"/>
          </w:tcPr>
          <w:p w14:paraId="6CDD0C18" w14:textId="77777777" w:rsidR="00091F0A" w:rsidRDefault="00000000">
            <w:r>
              <w:rPr>
                <w:rFonts w:ascii="Calibri" w:eastAsia="Calibri" w:hAnsi="Calibri" w:cs="Calibri"/>
                <w:b/>
                <w:bCs/>
                <w:color w:val="000000"/>
              </w:rPr>
              <w:t>All Employees &amp; Contractors/Subcontractors</w:t>
            </w:r>
          </w:p>
        </w:tc>
        <w:tc>
          <w:tcPr>
            <w:tcW w:w="6550" w:type="dxa"/>
            <w:shd w:val="clear" w:color="auto" w:fill="F2F2F2"/>
            <w:tcMar>
              <w:top w:w="80" w:type="dxa"/>
              <w:left w:w="100" w:type="dxa"/>
              <w:bottom w:w="80" w:type="dxa"/>
              <w:right w:w="100" w:type="dxa"/>
            </w:tcMar>
            <w:vAlign w:val="center"/>
          </w:tcPr>
          <w:p w14:paraId="7725F43E" w14:textId="77777777" w:rsidR="00091F0A" w:rsidRDefault="00000000">
            <w:r>
              <w:rPr>
                <w:rFonts w:ascii="Calibri" w:eastAsia="Calibri" w:hAnsi="Calibri" w:cs="Calibri"/>
                <w:color w:val="000000"/>
              </w:rPr>
              <w:t xml:space="preserve">Do not implement, bypass, or work around any change to equipment, process, materials, personnel or procedures without an approved MOCR in place; report any </w:t>
            </w:r>
            <w:proofErr w:type="spellStart"/>
            <w:r>
              <w:rPr>
                <w:rFonts w:ascii="Calibri" w:eastAsia="Calibri" w:hAnsi="Calibri" w:cs="Calibri"/>
                <w:color w:val="000000"/>
              </w:rPr>
              <w:t>unauthorised</w:t>
            </w:r>
            <w:proofErr w:type="spellEnd"/>
            <w:r>
              <w:rPr>
                <w:rFonts w:ascii="Calibri" w:eastAsia="Calibri" w:hAnsi="Calibri" w:cs="Calibri"/>
                <w:color w:val="000000"/>
              </w:rPr>
              <w:t xml:space="preserve"> or unmanaged change immediately.</w:t>
            </w:r>
          </w:p>
        </w:tc>
      </w:tr>
    </w:tbl>
    <w:p w14:paraId="60141CF8" w14:textId="77777777" w:rsidR="00091F0A" w:rsidRDefault="00000000">
      <w:pPr>
        <w:pStyle w:val="Heading1"/>
        <w:pBdr>
          <w:bottom w:val="single" w:sz="8" w:space="4" w:color="1F3864"/>
        </w:pBdr>
        <w:spacing w:before="400" w:after="200"/>
      </w:pPr>
      <w:proofErr w:type="gramStart"/>
      <w:r>
        <w:rPr>
          <w:rFonts w:ascii="Calibri" w:eastAsia="Calibri" w:hAnsi="Calibri" w:cs="Calibri"/>
          <w:b/>
          <w:bCs/>
          <w:color w:val="1F3864"/>
          <w:sz w:val="28"/>
          <w:szCs w:val="28"/>
        </w:rPr>
        <w:t>5.0  CATEGORIES</w:t>
      </w:r>
      <w:proofErr w:type="gramEnd"/>
      <w:r>
        <w:rPr>
          <w:rFonts w:ascii="Calibri" w:eastAsia="Calibri" w:hAnsi="Calibri" w:cs="Calibri"/>
          <w:b/>
          <w:bCs/>
          <w:color w:val="1F3864"/>
          <w:sz w:val="28"/>
          <w:szCs w:val="28"/>
        </w:rPr>
        <w:t xml:space="preserve"> OF CHANGE</w:t>
      </w:r>
    </w:p>
    <w:p w14:paraId="7EA84608" w14:textId="77777777" w:rsidR="00091F0A" w:rsidRDefault="00000000">
      <w:pPr>
        <w:spacing w:after="140" w:line="276" w:lineRule="auto"/>
        <w:jc w:val="both"/>
      </w:pPr>
      <w:r>
        <w:rPr>
          <w:rFonts w:ascii="Calibri" w:eastAsia="Calibri" w:hAnsi="Calibri" w:cs="Calibri"/>
          <w:sz w:val="22"/>
          <w:szCs w:val="22"/>
        </w:rPr>
        <w:t xml:space="preserve">SWDA </w:t>
      </w:r>
      <w:proofErr w:type="spellStart"/>
      <w:r>
        <w:rPr>
          <w:rFonts w:ascii="Calibri" w:eastAsia="Calibri" w:hAnsi="Calibri" w:cs="Calibri"/>
          <w:sz w:val="22"/>
          <w:szCs w:val="22"/>
        </w:rPr>
        <w:t>recognises</w:t>
      </w:r>
      <w:proofErr w:type="spellEnd"/>
      <w:r>
        <w:rPr>
          <w:rFonts w:ascii="Calibri" w:eastAsia="Calibri" w:hAnsi="Calibri" w:cs="Calibri"/>
          <w:sz w:val="22"/>
          <w:szCs w:val="22"/>
        </w:rPr>
        <w:t xml:space="preserve"> the following categories of change. A single proposed change may fall into more than one category, in which case the highest applicable Risk Level governs.</w:t>
      </w:r>
    </w:p>
    <w:tbl>
      <w:tblPr>
        <w:tblW w:w="935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950"/>
      </w:tblGrid>
      <w:tr w:rsidR="00091F0A" w14:paraId="37D92EF5" w14:textId="77777777">
        <w:trPr>
          <w:tblHeader/>
        </w:trPr>
        <w:tc>
          <w:tcPr>
            <w:tcW w:w="2400" w:type="dxa"/>
            <w:shd w:val="clear" w:color="auto" w:fill="1F3864"/>
            <w:tcMar>
              <w:top w:w="80" w:type="dxa"/>
              <w:left w:w="100" w:type="dxa"/>
              <w:bottom w:w="80" w:type="dxa"/>
              <w:right w:w="100" w:type="dxa"/>
            </w:tcMar>
            <w:vAlign w:val="center"/>
          </w:tcPr>
          <w:p w14:paraId="1893AF59" w14:textId="77777777" w:rsidR="00091F0A" w:rsidRDefault="00000000">
            <w:r>
              <w:rPr>
                <w:rFonts w:ascii="Calibri" w:eastAsia="Calibri" w:hAnsi="Calibri" w:cs="Calibri"/>
                <w:b/>
                <w:bCs/>
                <w:color w:val="FFFFFF"/>
              </w:rPr>
              <w:t>CATEGORY OF CHANGE</w:t>
            </w:r>
          </w:p>
        </w:tc>
        <w:tc>
          <w:tcPr>
            <w:tcW w:w="6950" w:type="dxa"/>
            <w:shd w:val="clear" w:color="auto" w:fill="1F3864"/>
            <w:tcMar>
              <w:top w:w="80" w:type="dxa"/>
              <w:left w:w="100" w:type="dxa"/>
              <w:bottom w:w="80" w:type="dxa"/>
              <w:right w:w="100" w:type="dxa"/>
            </w:tcMar>
            <w:vAlign w:val="center"/>
          </w:tcPr>
          <w:p w14:paraId="74BAA858" w14:textId="77777777" w:rsidR="00091F0A" w:rsidRDefault="00000000">
            <w:r>
              <w:rPr>
                <w:rFonts w:ascii="Calibri" w:eastAsia="Calibri" w:hAnsi="Calibri" w:cs="Calibri"/>
                <w:b/>
                <w:bCs/>
                <w:color w:val="FFFFFF"/>
              </w:rPr>
              <w:t>ILLUSTRATIVE EXAMPLES (NOT EXHAUSTIVE)</w:t>
            </w:r>
          </w:p>
        </w:tc>
      </w:tr>
      <w:tr w:rsidR="00091F0A" w14:paraId="67E72B84" w14:textId="77777777">
        <w:tc>
          <w:tcPr>
            <w:tcW w:w="2400" w:type="dxa"/>
            <w:shd w:val="clear" w:color="auto" w:fill="F2F2F2"/>
            <w:tcMar>
              <w:top w:w="80" w:type="dxa"/>
              <w:left w:w="100" w:type="dxa"/>
              <w:bottom w:w="80" w:type="dxa"/>
              <w:right w:w="100" w:type="dxa"/>
            </w:tcMar>
            <w:vAlign w:val="center"/>
          </w:tcPr>
          <w:p w14:paraId="21EB3191" w14:textId="77777777" w:rsidR="00091F0A" w:rsidRDefault="00000000">
            <w:proofErr w:type="spellStart"/>
            <w:r>
              <w:rPr>
                <w:rFonts w:ascii="Calibri" w:eastAsia="Calibri" w:hAnsi="Calibri" w:cs="Calibri"/>
                <w:b/>
                <w:bCs/>
                <w:color w:val="000000"/>
              </w:rPr>
              <w:t>Organisational</w:t>
            </w:r>
            <w:proofErr w:type="spellEnd"/>
            <w:r>
              <w:rPr>
                <w:rFonts w:ascii="Calibri" w:eastAsia="Calibri" w:hAnsi="Calibri" w:cs="Calibri"/>
                <w:b/>
                <w:bCs/>
                <w:color w:val="000000"/>
              </w:rPr>
              <w:t xml:space="preserve"> / Personnel</w:t>
            </w:r>
          </w:p>
        </w:tc>
        <w:tc>
          <w:tcPr>
            <w:tcW w:w="6950" w:type="dxa"/>
            <w:shd w:val="clear" w:color="auto" w:fill="F2F2F2"/>
            <w:tcMar>
              <w:top w:w="80" w:type="dxa"/>
              <w:left w:w="100" w:type="dxa"/>
              <w:bottom w:w="80" w:type="dxa"/>
              <w:right w:w="100" w:type="dxa"/>
            </w:tcMar>
            <w:vAlign w:val="center"/>
          </w:tcPr>
          <w:p w14:paraId="56D942DE" w14:textId="77777777" w:rsidR="00091F0A" w:rsidRDefault="00000000">
            <w:r>
              <w:rPr>
                <w:rFonts w:ascii="Calibri" w:eastAsia="Calibri" w:hAnsi="Calibri" w:cs="Calibri"/>
                <w:color w:val="000000"/>
              </w:rPr>
              <w:t>Changes to the Project organogram (Ref. HSEP Fig. 1 &amp; 2), key HSE-critical roles, staffing levels, supervisory structure, or a new Subcontractor.</w:t>
            </w:r>
          </w:p>
        </w:tc>
      </w:tr>
      <w:tr w:rsidR="00091F0A" w14:paraId="3990F18C" w14:textId="77777777">
        <w:tc>
          <w:tcPr>
            <w:tcW w:w="2400" w:type="dxa"/>
            <w:shd w:val="clear" w:color="auto" w:fill="FFFFFF"/>
            <w:tcMar>
              <w:top w:w="80" w:type="dxa"/>
              <w:left w:w="100" w:type="dxa"/>
              <w:bottom w:w="80" w:type="dxa"/>
              <w:right w:w="100" w:type="dxa"/>
            </w:tcMar>
            <w:vAlign w:val="center"/>
          </w:tcPr>
          <w:p w14:paraId="2A7D643C" w14:textId="77777777" w:rsidR="00091F0A" w:rsidRDefault="00000000">
            <w:r>
              <w:rPr>
                <w:rFonts w:ascii="Calibri" w:eastAsia="Calibri" w:hAnsi="Calibri" w:cs="Calibri"/>
                <w:b/>
                <w:bCs/>
                <w:color w:val="000000"/>
              </w:rPr>
              <w:t>Technical / Engineering / Equipment</w:t>
            </w:r>
          </w:p>
        </w:tc>
        <w:tc>
          <w:tcPr>
            <w:tcW w:w="6950" w:type="dxa"/>
            <w:shd w:val="clear" w:color="auto" w:fill="FFFFFF"/>
            <w:tcMar>
              <w:top w:w="80" w:type="dxa"/>
              <w:left w:w="100" w:type="dxa"/>
              <w:bottom w:w="80" w:type="dxa"/>
              <w:right w:w="100" w:type="dxa"/>
            </w:tcMar>
            <w:vAlign w:val="center"/>
          </w:tcPr>
          <w:p w14:paraId="277B2040" w14:textId="77777777" w:rsidR="00091F0A" w:rsidRDefault="00000000">
            <w:r>
              <w:rPr>
                <w:rFonts w:ascii="Calibri" w:eastAsia="Calibri" w:hAnsi="Calibri" w:cs="Calibri"/>
                <w:color w:val="000000"/>
              </w:rPr>
              <w:t>New or modified Tank Cleaning (ATC/NME) equipment, BLABO System modifications, temporary bypass of safety-critical equipment, pipe connections or PPE specification changes (Ref. HSEP Attach. 1 &amp; 2).</w:t>
            </w:r>
          </w:p>
        </w:tc>
      </w:tr>
      <w:tr w:rsidR="00091F0A" w14:paraId="08D1A3B0" w14:textId="77777777">
        <w:tc>
          <w:tcPr>
            <w:tcW w:w="2400" w:type="dxa"/>
            <w:shd w:val="clear" w:color="auto" w:fill="F2F2F2"/>
            <w:tcMar>
              <w:top w:w="80" w:type="dxa"/>
              <w:left w:w="100" w:type="dxa"/>
              <w:bottom w:w="80" w:type="dxa"/>
              <w:right w:w="100" w:type="dxa"/>
            </w:tcMar>
            <w:vAlign w:val="center"/>
          </w:tcPr>
          <w:p w14:paraId="088F477A" w14:textId="77777777" w:rsidR="00091F0A" w:rsidRDefault="00000000">
            <w:r>
              <w:rPr>
                <w:rFonts w:ascii="Calibri" w:eastAsia="Calibri" w:hAnsi="Calibri" w:cs="Calibri"/>
                <w:b/>
                <w:bCs/>
                <w:color w:val="000000"/>
              </w:rPr>
              <w:t>Process / Procedural</w:t>
            </w:r>
          </w:p>
        </w:tc>
        <w:tc>
          <w:tcPr>
            <w:tcW w:w="6950" w:type="dxa"/>
            <w:shd w:val="clear" w:color="auto" w:fill="F2F2F2"/>
            <w:tcMar>
              <w:top w:w="80" w:type="dxa"/>
              <w:left w:w="100" w:type="dxa"/>
              <w:bottom w:w="80" w:type="dxa"/>
              <w:right w:w="100" w:type="dxa"/>
            </w:tcMar>
            <w:vAlign w:val="center"/>
          </w:tcPr>
          <w:p w14:paraId="7BB5CEF6" w14:textId="77777777" w:rsidR="00091F0A" w:rsidRDefault="00000000">
            <w:r>
              <w:rPr>
                <w:rFonts w:ascii="Calibri" w:eastAsia="Calibri" w:hAnsi="Calibri" w:cs="Calibri"/>
                <w:color w:val="000000"/>
              </w:rPr>
              <w:t>Changes to a Job HSE Safety/Hazard Analysis (JS/HA), Site-Specific HSE Plan (SS-HSEP), Permit-to-Work system, or sludge/waste handling method (Ref. HSEP Sec. 3.6, 3.7).</w:t>
            </w:r>
          </w:p>
        </w:tc>
      </w:tr>
      <w:tr w:rsidR="00091F0A" w14:paraId="62F9CC81" w14:textId="77777777">
        <w:tc>
          <w:tcPr>
            <w:tcW w:w="2400" w:type="dxa"/>
            <w:shd w:val="clear" w:color="auto" w:fill="FFFFFF"/>
            <w:tcMar>
              <w:top w:w="80" w:type="dxa"/>
              <w:left w:w="100" w:type="dxa"/>
              <w:bottom w:w="80" w:type="dxa"/>
              <w:right w:w="100" w:type="dxa"/>
            </w:tcMar>
            <w:vAlign w:val="center"/>
          </w:tcPr>
          <w:p w14:paraId="6D815533" w14:textId="77777777" w:rsidR="00091F0A" w:rsidRDefault="00000000">
            <w:r>
              <w:rPr>
                <w:rFonts w:ascii="Calibri" w:eastAsia="Calibri" w:hAnsi="Calibri" w:cs="Calibri"/>
                <w:b/>
                <w:bCs/>
                <w:color w:val="000000"/>
              </w:rPr>
              <w:t>Materials / Chemicals / Consumables</w:t>
            </w:r>
          </w:p>
        </w:tc>
        <w:tc>
          <w:tcPr>
            <w:tcW w:w="6950" w:type="dxa"/>
            <w:shd w:val="clear" w:color="auto" w:fill="FFFFFF"/>
            <w:tcMar>
              <w:top w:w="80" w:type="dxa"/>
              <w:left w:w="100" w:type="dxa"/>
              <w:bottom w:w="80" w:type="dxa"/>
              <w:right w:w="100" w:type="dxa"/>
            </w:tcMar>
            <w:vAlign w:val="center"/>
          </w:tcPr>
          <w:p w14:paraId="15AE838F" w14:textId="77777777" w:rsidR="00091F0A" w:rsidRDefault="00000000">
            <w:r>
              <w:rPr>
                <w:rFonts w:ascii="Calibri" w:eastAsia="Calibri" w:hAnsi="Calibri" w:cs="Calibri"/>
                <w:color w:val="000000"/>
              </w:rPr>
              <w:t>Introduction of a new chemical, cleaning agent or consumable not already listed in the Project Consumables List (Ref. HSEP Table 3), or a change of supplier/specification for an existing one.</w:t>
            </w:r>
          </w:p>
        </w:tc>
      </w:tr>
      <w:tr w:rsidR="00091F0A" w14:paraId="6EDDF411" w14:textId="77777777">
        <w:tc>
          <w:tcPr>
            <w:tcW w:w="2400" w:type="dxa"/>
            <w:shd w:val="clear" w:color="auto" w:fill="F2F2F2"/>
            <w:tcMar>
              <w:top w:w="80" w:type="dxa"/>
              <w:left w:w="100" w:type="dxa"/>
              <w:bottom w:w="80" w:type="dxa"/>
              <w:right w:w="100" w:type="dxa"/>
            </w:tcMar>
            <w:vAlign w:val="center"/>
          </w:tcPr>
          <w:p w14:paraId="24275C9D" w14:textId="77777777" w:rsidR="00091F0A" w:rsidRDefault="00000000">
            <w:r>
              <w:rPr>
                <w:rFonts w:ascii="Calibri" w:eastAsia="Calibri" w:hAnsi="Calibri" w:cs="Calibri"/>
                <w:b/>
                <w:bCs/>
                <w:color w:val="000000"/>
              </w:rPr>
              <w:t>Site / Location</w:t>
            </w:r>
          </w:p>
        </w:tc>
        <w:tc>
          <w:tcPr>
            <w:tcW w:w="6950" w:type="dxa"/>
            <w:shd w:val="clear" w:color="auto" w:fill="F2F2F2"/>
            <w:tcMar>
              <w:top w:w="80" w:type="dxa"/>
              <w:left w:w="100" w:type="dxa"/>
              <w:bottom w:w="80" w:type="dxa"/>
              <w:right w:w="100" w:type="dxa"/>
            </w:tcMar>
            <w:vAlign w:val="center"/>
          </w:tcPr>
          <w:p w14:paraId="1518AE28" w14:textId="77777777" w:rsidR="00091F0A" w:rsidRDefault="00000000">
            <w:proofErr w:type="spellStart"/>
            <w:r>
              <w:rPr>
                <w:rFonts w:ascii="Calibri" w:eastAsia="Calibri" w:hAnsi="Calibri" w:cs="Calibri"/>
                <w:color w:val="000000"/>
              </w:rPr>
              <w:t>Mobilisation</w:t>
            </w:r>
            <w:proofErr w:type="spellEnd"/>
            <w:r>
              <w:rPr>
                <w:rFonts w:ascii="Calibri" w:eastAsia="Calibri" w:hAnsi="Calibri" w:cs="Calibri"/>
                <w:color w:val="000000"/>
              </w:rPr>
              <w:t xml:space="preserve"> to a new Tank Site or Renaissance facility not previously assessed, or a change in site layout, access route or Journey Management routing.</w:t>
            </w:r>
          </w:p>
        </w:tc>
      </w:tr>
      <w:tr w:rsidR="00091F0A" w14:paraId="426BA428" w14:textId="77777777">
        <w:tc>
          <w:tcPr>
            <w:tcW w:w="2400" w:type="dxa"/>
            <w:shd w:val="clear" w:color="auto" w:fill="FFFFFF"/>
            <w:tcMar>
              <w:top w:w="80" w:type="dxa"/>
              <w:left w:w="100" w:type="dxa"/>
              <w:bottom w:w="80" w:type="dxa"/>
              <w:right w:w="100" w:type="dxa"/>
            </w:tcMar>
            <w:vAlign w:val="center"/>
          </w:tcPr>
          <w:p w14:paraId="53E93193" w14:textId="77777777" w:rsidR="00091F0A" w:rsidRDefault="00000000">
            <w:r>
              <w:rPr>
                <w:rFonts w:ascii="Calibri" w:eastAsia="Calibri" w:hAnsi="Calibri" w:cs="Calibri"/>
                <w:b/>
                <w:bCs/>
                <w:color w:val="000000"/>
              </w:rPr>
              <w:t>Regulatory / Standards-Driven</w:t>
            </w:r>
          </w:p>
        </w:tc>
        <w:tc>
          <w:tcPr>
            <w:tcW w:w="6950" w:type="dxa"/>
            <w:shd w:val="clear" w:color="auto" w:fill="FFFFFF"/>
            <w:tcMar>
              <w:top w:w="80" w:type="dxa"/>
              <w:left w:w="100" w:type="dxa"/>
              <w:bottom w:w="80" w:type="dxa"/>
              <w:right w:w="100" w:type="dxa"/>
            </w:tcMar>
            <w:vAlign w:val="center"/>
          </w:tcPr>
          <w:p w14:paraId="341FC8EB" w14:textId="77777777" w:rsidR="00091F0A" w:rsidRDefault="00000000">
            <w:r>
              <w:rPr>
                <w:rFonts w:ascii="Calibri" w:eastAsia="Calibri" w:hAnsi="Calibri" w:cs="Calibri"/>
                <w:color w:val="000000"/>
              </w:rPr>
              <w:t>A change required as an output of the SWDA Regulatory &amp; Standards Review Process (Ref. SWDA-HSE-PROC-04.3.6) following a new or amended Local, National, Regional or International requirement.</w:t>
            </w:r>
          </w:p>
        </w:tc>
      </w:tr>
      <w:tr w:rsidR="00091F0A" w14:paraId="5BB800AD" w14:textId="77777777">
        <w:tc>
          <w:tcPr>
            <w:tcW w:w="2400" w:type="dxa"/>
            <w:shd w:val="clear" w:color="auto" w:fill="F2F2F2"/>
            <w:tcMar>
              <w:top w:w="80" w:type="dxa"/>
              <w:left w:w="100" w:type="dxa"/>
              <w:bottom w:w="80" w:type="dxa"/>
              <w:right w:w="100" w:type="dxa"/>
            </w:tcMar>
            <w:vAlign w:val="center"/>
          </w:tcPr>
          <w:p w14:paraId="368562A1" w14:textId="77777777" w:rsidR="00091F0A" w:rsidRDefault="00000000">
            <w:r>
              <w:rPr>
                <w:rFonts w:ascii="Calibri" w:eastAsia="Calibri" w:hAnsi="Calibri" w:cs="Calibri"/>
                <w:b/>
                <w:bCs/>
                <w:color w:val="000000"/>
              </w:rPr>
              <w:t>Temporary Change</w:t>
            </w:r>
          </w:p>
        </w:tc>
        <w:tc>
          <w:tcPr>
            <w:tcW w:w="6950" w:type="dxa"/>
            <w:shd w:val="clear" w:color="auto" w:fill="F2F2F2"/>
            <w:tcMar>
              <w:top w:w="80" w:type="dxa"/>
              <w:left w:w="100" w:type="dxa"/>
              <w:bottom w:w="80" w:type="dxa"/>
              <w:right w:w="100" w:type="dxa"/>
            </w:tcMar>
            <w:vAlign w:val="center"/>
          </w:tcPr>
          <w:p w14:paraId="36259AFF" w14:textId="77777777" w:rsidR="00091F0A" w:rsidRDefault="00000000">
            <w:r>
              <w:rPr>
                <w:rFonts w:ascii="Calibri" w:eastAsia="Calibri" w:hAnsi="Calibri" w:cs="Calibri"/>
                <w:color w:val="000000"/>
              </w:rPr>
              <w:t>A time-bound deviation (e.g. temporary use of alternate equipment during repair) which must revert to the original condition or be re-assessed as a Permanent Change by its expiry date.</w:t>
            </w:r>
          </w:p>
        </w:tc>
      </w:tr>
      <w:tr w:rsidR="00091F0A" w14:paraId="561B131E" w14:textId="77777777">
        <w:tc>
          <w:tcPr>
            <w:tcW w:w="2400" w:type="dxa"/>
            <w:shd w:val="clear" w:color="auto" w:fill="FFFFFF"/>
            <w:tcMar>
              <w:top w:w="80" w:type="dxa"/>
              <w:left w:w="100" w:type="dxa"/>
              <w:bottom w:w="80" w:type="dxa"/>
              <w:right w:w="100" w:type="dxa"/>
            </w:tcMar>
            <w:vAlign w:val="center"/>
          </w:tcPr>
          <w:p w14:paraId="3CFED719" w14:textId="77777777" w:rsidR="00091F0A" w:rsidRDefault="00000000">
            <w:r>
              <w:rPr>
                <w:rFonts w:ascii="Calibri" w:eastAsia="Calibri" w:hAnsi="Calibri" w:cs="Calibri"/>
                <w:b/>
                <w:bCs/>
                <w:color w:val="000000"/>
              </w:rPr>
              <w:t>Emergency Change</w:t>
            </w:r>
          </w:p>
        </w:tc>
        <w:tc>
          <w:tcPr>
            <w:tcW w:w="6950" w:type="dxa"/>
            <w:shd w:val="clear" w:color="auto" w:fill="FFFFFF"/>
            <w:tcMar>
              <w:top w:w="80" w:type="dxa"/>
              <w:left w:w="100" w:type="dxa"/>
              <w:bottom w:w="80" w:type="dxa"/>
              <w:right w:w="100" w:type="dxa"/>
            </w:tcMar>
            <w:vAlign w:val="center"/>
          </w:tcPr>
          <w:p w14:paraId="178EA34A" w14:textId="77777777" w:rsidR="00091F0A" w:rsidRDefault="00000000">
            <w:r>
              <w:rPr>
                <w:rFonts w:ascii="Calibri" w:eastAsia="Calibri" w:hAnsi="Calibri" w:cs="Calibri"/>
                <w:color w:val="000000"/>
              </w:rPr>
              <w:t>A change made under emergency conditions to protect people, environment or assets, implemented ahead of full MOC review but formally documented and reviewed within 48 hours (Ref. Section 9).</w:t>
            </w:r>
          </w:p>
        </w:tc>
      </w:tr>
    </w:tbl>
    <w:p w14:paraId="4950F4A9" w14:textId="77777777" w:rsidR="00AA24D5" w:rsidRDefault="00AA24D5">
      <w:pPr>
        <w:pStyle w:val="Heading1"/>
        <w:pBdr>
          <w:bottom w:val="single" w:sz="8" w:space="4" w:color="1F3864"/>
        </w:pBdr>
        <w:spacing w:before="400" w:after="200"/>
        <w:rPr>
          <w:rFonts w:ascii="Calibri" w:eastAsia="Calibri" w:hAnsi="Calibri" w:cs="Calibri"/>
          <w:b/>
          <w:bCs/>
          <w:color w:val="1F3864"/>
          <w:sz w:val="28"/>
          <w:szCs w:val="28"/>
        </w:rPr>
      </w:pPr>
    </w:p>
    <w:p w14:paraId="67B93971" w14:textId="0F3D9A31" w:rsidR="00091F0A" w:rsidRDefault="00000000">
      <w:pPr>
        <w:pStyle w:val="Heading1"/>
        <w:pBdr>
          <w:bottom w:val="single" w:sz="8" w:space="4" w:color="1F3864"/>
        </w:pBdr>
        <w:spacing w:before="400" w:after="200"/>
      </w:pPr>
      <w:proofErr w:type="gramStart"/>
      <w:r>
        <w:rPr>
          <w:rFonts w:ascii="Calibri" w:eastAsia="Calibri" w:hAnsi="Calibri" w:cs="Calibri"/>
          <w:b/>
          <w:bCs/>
          <w:color w:val="1F3864"/>
          <w:sz w:val="28"/>
          <w:szCs w:val="28"/>
        </w:rPr>
        <w:t>6.0  RISK</w:t>
      </w:r>
      <w:proofErr w:type="gramEnd"/>
      <w:r>
        <w:rPr>
          <w:rFonts w:ascii="Calibri" w:eastAsia="Calibri" w:hAnsi="Calibri" w:cs="Calibri"/>
          <w:b/>
          <w:bCs/>
          <w:color w:val="1F3864"/>
          <w:sz w:val="28"/>
          <w:szCs w:val="28"/>
        </w:rPr>
        <w:t xml:space="preserve"> SCREENING &amp; APPROVAL AUTHORITY MATRIX</w:t>
      </w:r>
    </w:p>
    <w:p w14:paraId="47DD9232" w14:textId="77777777" w:rsidR="00091F0A" w:rsidRDefault="00000000">
      <w:pPr>
        <w:spacing w:after="140" w:line="276" w:lineRule="auto"/>
        <w:jc w:val="both"/>
      </w:pPr>
      <w:r>
        <w:rPr>
          <w:rFonts w:ascii="Calibri" w:eastAsia="Calibri" w:hAnsi="Calibri" w:cs="Calibri"/>
          <w:sz w:val="22"/>
          <w:szCs w:val="22"/>
        </w:rPr>
        <w:t>Every MOCR is screened and assigned a Risk Level using the matrix below, which determines the depth of assessment required and who holds approval authority. Where there is doubt about the correct Risk Level, the higher level and its approval authority shall apply.</w:t>
      </w:r>
    </w:p>
    <w:tbl>
      <w:tblPr>
        <w:tblW w:w="935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
        <w:gridCol w:w="3599"/>
        <w:gridCol w:w="2350"/>
        <w:gridCol w:w="2499"/>
      </w:tblGrid>
      <w:tr w:rsidR="00091F0A" w14:paraId="2715C4BB" w14:textId="77777777">
        <w:trPr>
          <w:tblHeader/>
        </w:trPr>
        <w:tc>
          <w:tcPr>
            <w:tcW w:w="900" w:type="dxa"/>
            <w:shd w:val="clear" w:color="auto" w:fill="1F3864"/>
            <w:tcMar>
              <w:top w:w="80" w:type="dxa"/>
              <w:left w:w="100" w:type="dxa"/>
              <w:bottom w:w="80" w:type="dxa"/>
              <w:right w:w="100" w:type="dxa"/>
            </w:tcMar>
            <w:vAlign w:val="center"/>
          </w:tcPr>
          <w:p w14:paraId="1A3E6275" w14:textId="77777777" w:rsidR="00091F0A" w:rsidRDefault="00000000">
            <w:pPr>
              <w:jc w:val="center"/>
            </w:pPr>
            <w:r>
              <w:rPr>
                <w:rFonts w:ascii="Calibri" w:eastAsia="Calibri" w:hAnsi="Calibri" w:cs="Calibri"/>
                <w:b/>
                <w:bCs/>
                <w:color w:val="FFFFFF"/>
              </w:rPr>
              <w:t>RISK LEVEL</w:t>
            </w:r>
          </w:p>
        </w:tc>
        <w:tc>
          <w:tcPr>
            <w:tcW w:w="3600" w:type="dxa"/>
            <w:shd w:val="clear" w:color="auto" w:fill="1F3864"/>
            <w:tcMar>
              <w:top w:w="80" w:type="dxa"/>
              <w:left w:w="100" w:type="dxa"/>
              <w:bottom w:w="80" w:type="dxa"/>
              <w:right w:w="100" w:type="dxa"/>
            </w:tcMar>
            <w:vAlign w:val="center"/>
          </w:tcPr>
          <w:p w14:paraId="6653D142" w14:textId="77777777" w:rsidR="00091F0A" w:rsidRDefault="00000000">
            <w:r>
              <w:rPr>
                <w:rFonts w:ascii="Calibri" w:eastAsia="Calibri" w:hAnsi="Calibri" w:cs="Calibri"/>
                <w:b/>
                <w:bCs/>
                <w:color w:val="FFFFFF"/>
              </w:rPr>
              <w:t>SCREENING CRITERIA</w:t>
            </w:r>
          </w:p>
        </w:tc>
        <w:tc>
          <w:tcPr>
            <w:tcW w:w="2350" w:type="dxa"/>
            <w:shd w:val="clear" w:color="auto" w:fill="1F3864"/>
            <w:tcMar>
              <w:top w:w="80" w:type="dxa"/>
              <w:left w:w="100" w:type="dxa"/>
              <w:bottom w:w="80" w:type="dxa"/>
              <w:right w:w="100" w:type="dxa"/>
            </w:tcMar>
            <w:vAlign w:val="center"/>
          </w:tcPr>
          <w:p w14:paraId="388FB801" w14:textId="77777777" w:rsidR="00091F0A" w:rsidRDefault="00000000">
            <w:r>
              <w:rPr>
                <w:rFonts w:ascii="Calibri" w:eastAsia="Calibri" w:hAnsi="Calibri" w:cs="Calibri"/>
                <w:b/>
                <w:bCs/>
                <w:color w:val="FFFFFF"/>
              </w:rPr>
              <w:t>APPROVAL AUTHORITY</w:t>
            </w:r>
          </w:p>
        </w:tc>
        <w:tc>
          <w:tcPr>
            <w:tcW w:w="2500" w:type="dxa"/>
            <w:shd w:val="clear" w:color="auto" w:fill="1F3864"/>
            <w:tcMar>
              <w:top w:w="80" w:type="dxa"/>
              <w:left w:w="100" w:type="dxa"/>
              <w:bottom w:w="80" w:type="dxa"/>
              <w:right w:w="100" w:type="dxa"/>
            </w:tcMar>
            <w:vAlign w:val="center"/>
          </w:tcPr>
          <w:p w14:paraId="7C92CED5" w14:textId="77777777" w:rsidR="00091F0A" w:rsidRDefault="00000000">
            <w:r>
              <w:rPr>
                <w:rFonts w:ascii="Calibri" w:eastAsia="Calibri" w:hAnsi="Calibri" w:cs="Calibri"/>
                <w:b/>
                <w:bCs/>
                <w:color w:val="FFFFFF"/>
              </w:rPr>
              <w:t>MINIMUM REQUIREMENTS</w:t>
            </w:r>
          </w:p>
        </w:tc>
      </w:tr>
      <w:tr w:rsidR="00091F0A" w14:paraId="56576962" w14:textId="77777777">
        <w:tc>
          <w:tcPr>
            <w:tcW w:w="900" w:type="dxa"/>
            <w:shd w:val="clear" w:color="auto" w:fill="F2F2F2"/>
            <w:tcMar>
              <w:top w:w="80" w:type="dxa"/>
              <w:left w:w="100" w:type="dxa"/>
              <w:bottom w:w="80" w:type="dxa"/>
              <w:right w:w="100" w:type="dxa"/>
            </w:tcMar>
            <w:vAlign w:val="center"/>
          </w:tcPr>
          <w:p w14:paraId="0928FD73" w14:textId="77777777" w:rsidR="00091F0A" w:rsidRDefault="00000000">
            <w:pPr>
              <w:jc w:val="center"/>
            </w:pPr>
            <w:r>
              <w:rPr>
                <w:rFonts w:ascii="Calibri" w:eastAsia="Calibri" w:hAnsi="Calibri" w:cs="Calibri"/>
                <w:b/>
                <w:bCs/>
                <w:color w:val="000000"/>
              </w:rPr>
              <w:t>Low</w:t>
            </w:r>
          </w:p>
        </w:tc>
        <w:tc>
          <w:tcPr>
            <w:tcW w:w="3600" w:type="dxa"/>
            <w:shd w:val="clear" w:color="auto" w:fill="F2F2F2"/>
            <w:tcMar>
              <w:top w:w="80" w:type="dxa"/>
              <w:left w:w="100" w:type="dxa"/>
              <w:bottom w:w="80" w:type="dxa"/>
              <w:right w:w="100" w:type="dxa"/>
            </w:tcMar>
            <w:vAlign w:val="center"/>
          </w:tcPr>
          <w:p w14:paraId="048FCB25" w14:textId="77777777" w:rsidR="00091F0A" w:rsidRDefault="00000000">
            <w:r>
              <w:rPr>
                <w:rFonts w:ascii="Calibri" w:eastAsia="Calibri" w:hAnsi="Calibri" w:cs="Calibri"/>
                <w:color w:val="000000"/>
              </w:rPr>
              <w:t>Minimal or no change to existing HSE risk profile; contained within a single task/activity; no impact on HSE-critical equipment or Client (RAEC) interfaces.</w:t>
            </w:r>
          </w:p>
        </w:tc>
        <w:tc>
          <w:tcPr>
            <w:tcW w:w="2350" w:type="dxa"/>
            <w:shd w:val="clear" w:color="auto" w:fill="F2F2F2"/>
            <w:tcMar>
              <w:top w:w="80" w:type="dxa"/>
              <w:left w:w="100" w:type="dxa"/>
              <w:bottom w:w="80" w:type="dxa"/>
              <w:right w:w="100" w:type="dxa"/>
            </w:tcMar>
            <w:vAlign w:val="center"/>
          </w:tcPr>
          <w:p w14:paraId="1B70FDEB" w14:textId="77777777" w:rsidR="00091F0A" w:rsidRDefault="00000000">
            <w:r>
              <w:rPr>
                <w:rFonts w:ascii="Calibri" w:eastAsia="Calibri" w:hAnsi="Calibri" w:cs="Calibri"/>
                <w:color w:val="000000"/>
              </w:rPr>
              <w:t>Department/Project Manager + HSE Advisor</w:t>
            </w:r>
          </w:p>
        </w:tc>
        <w:tc>
          <w:tcPr>
            <w:tcW w:w="2500" w:type="dxa"/>
            <w:shd w:val="clear" w:color="auto" w:fill="F2F2F2"/>
            <w:tcMar>
              <w:top w:w="80" w:type="dxa"/>
              <w:left w:w="100" w:type="dxa"/>
              <w:bottom w:w="80" w:type="dxa"/>
              <w:right w:w="100" w:type="dxa"/>
            </w:tcMar>
            <w:vAlign w:val="center"/>
          </w:tcPr>
          <w:p w14:paraId="58C9F20B" w14:textId="77777777" w:rsidR="00091F0A" w:rsidRDefault="00000000">
            <w:r>
              <w:rPr>
                <w:rFonts w:ascii="Calibri" w:eastAsia="Calibri" w:hAnsi="Calibri" w:cs="Calibri"/>
                <w:color w:val="000000"/>
              </w:rPr>
              <w:t>Update JS/HA &amp; toolbox talk; log in MOC Register</w:t>
            </w:r>
          </w:p>
        </w:tc>
      </w:tr>
      <w:tr w:rsidR="00091F0A" w14:paraId="7F56F092" w14:textId="77777777">
        <w:tc>
          <w:tcPr>
            <w:tcW w:w="900" w:type="dxa"/>
            <w:shd w:val="clear" w:color="auto" w:fill="FFFFFF"/>
            <w:tcMar>
              <w:top w:w="80" w:type="dxa"/>
              <w:left w:w="100" w:type="dxa"/>
              <w:bottom w:w="80" w:type="dxa"/>
              <w:right w:w="100" w:type="dxa"/>
            </w:tcMar>
            <w:vAlign w:val="center"/>
          </w:tcPr>
          <w:p w14:paraId="7272C930" w14:textId="77777777" w:rsidR="00091F0A" w:rsidRDefault="00000000">
            <w:pPr>
              <w:jc w:val="center"/>
            </w:pPr>
            <w:r>
              <w:rPr>
                <w:rFonts w:ascii="Calibri" w:eastAsia="Calibri" w:hAnsi="Calibri" w:cs="Calibri"/>
                <w:b/>
                <w:bCs/>
                <w:color w:val="000000"/>
              </w:rPr>
              <w:t>Medium</w:t>
            </w:r>
          </w:p>
        </w:tc>
        <w:tc>
          <w:tcPr>
            <w:tcW w:w="3600" w:type="dxa"/>
            <w:shd w:val="clear" w:color="auto" w:fill="FFFFFF"/>
            <w:tcMar>
              <w:top w:w="80" w:type="dxa"/>
              <w:left w:w="100" w:type="dxa"/>
              <w:bottom w:w="80" w:type="dxa"/>
              <w:right w:w="100" w:type="dxa"/>
            </w:tcMar>
            <w:vAlign w:val="center"/>
          </w:tcPr>
          <w:p w14:paraId="389D288E" w14:textId="77777777" w:rsidR="00091F0A" w:rsidRDefault="00000000">
            <w:r>
              <w:rPr>
                <w:rFonts w:ascii="Calibri" w:eastAsia="Calibri" w:hAnsi="Calibri" w:cs="Calibri"/>
                <w:color w:val="000000"/>
              </w:rPr>
              <w:t>Change affects an HSE-critical activity, equipment or procedure, or has cross-departmental impact, but risk can be reduced to ALARP with standard controls.</w:t>
            </w:r>
          </w:p>
        </w:tc>
        <w:tc>
          <w:tcPr>
            <w:tcW w:w="2350" w:type="dxa"/>
            <w:shd w:val="clear" w:color="auto" w:fill="FFFFFF"/>
            <w:tcMar>
              <w:top w:w="80" w:type="dxa"/>
              <w:left w:w="100" w:type="dxa"/>
              <w:bottom w:w="80" w:type="dxa"/>
              <w:right w:w="100" w:type="dxa"/>
            </w:tcMar>
            <w:vAlign w:val="center"/>
          </w:tcPr>
          <w:p w14:paraId="00299BA4" w14:textId="77777777" w:rsidR="00091F0A" w:rsidRDefault="00000000">
            <w:r>
              <w:rPr>
                <w:rFonts w:ascii="Calibri" w:eastAsia="Calibri" w:hAnsi="Calibri" w:cs="Calibri"/>
                <w:color w:val="000000"/>
              </w:rPr>
              <w:t>MOC Committee (chaired by HSE Manager)</w:t>
            </w:r>
          </w:p>
        </w:tc>
        <w:tc>
          <w:tcPr>
            <w:tcW w:w="2500" w:type="dxa"/>
            <w:shd w:val="clear" w:color="auto" w:fill="FFFFFF"/>
            <w:tcMar>
              <w:top w:w="80" w:type="dxa"/>
              <w:left w:w="100" w:type="dxa"/>
              <w:bottom w:w="80" w:type="dxa"/>
              <w:right w:w="100" w:type="dxa"/>
            </w:tcMar>
            <w:vAlign w:val="center"/>
          </w:tcPr>
          <w:p w14:paraId="5744A410" w14:textId="77777777" w:rsidR="00091F0A" w:rsidRDefault="00000000">
            <w:r>
              <w:rPr>
                <w:rFonts w:ascii="Calibri" w:eastAsia="Calibri" w:hAnsi="Calibri" w:cs="Calibri"/>
                <w:color w:val="000000"/>
              </w:rPr>
              <w:t>Full risk assessment/HEMP; update SS-HSEP/HSEP references; MOC Committee sign-off</w:t>
            </w:r>
          </w:p>
        </w:tc>
      </w:tr>
      <w:tr w:rsidR="00091F0A" w14:paraId="6980F357" w14:textId="77777777">
        <w:tc>
          <w:tcPr>
            <w:tcW w:w="900" w:type="dxa"/>
            <w:shd w:val="clear" w:color="auto" w:fill="F2F2F2"/>
            <w:tcMar>
              <w:top w:w="80" w:type="dxa"/>
              <w:left w:w="100" w:type="dxa"/>
              <w:bottom w:w="80" w:type="dxa"/>
              <w:right w:w="100" w:type="dxa"/>
            </w:tcMar>
            <w:vAlign w:val="center"/>
          </w:tcPr>
          <w:p w14:paraId="45581BCE" w14:textId="77777777" w:rsidR="00091F0A" w:rsidRDefault="00000000">
            <w:pPr>
              <w:jc w:val="center"/>
            </w:pPr>
            <w:r>
              <w:rPr>
                <w:rFonts w:ascii="Calibri" w:eastAsia="Calibri" w:hAnsi="Calibri" w:cs="Calibri"/>
                <w:b/>
                <w:bCs/>
                <w:color w:val="000000"/>
              </w:rPr>
              <w:t>High</w:t>
            </w:r>
          </w:p>
        </w:tc>
        <w:tc>
          <w:tcPr>
            <w:tcW w:w="3600" w:type="dxa"/>
            <w:shd w:val="clear" w:color="auto" w:fill="F2F2F2"/>
            <w:tcMar>
              <w:top w:w="80" w:type="dxa"/>
              <w:left w:w="100" w:type="dxa"/>
              <w:bottom w:w="80" w:type="dxa"/>
              <w:right w:w="100" w:type="dxa"/>
            </w:tcMar>
            <w:vAlign w:val="center"/>
          </w:tcPr>
          <w:p w14:paraId="602F96F5" w14:textId="77777777" w:rsidR="00091F0A" w:rsidRDefault="00000000">
            <w:r>
              <w:rPr>
                <w:rFonts w:ascii="Calibri" w:eastAsia="Calibri" w:hAnsi="Calibri" w:cs="Calibri"/>
                <w:color w:val="000000"/>
              </w:rPr>
              <w:t>Change affects a Major Hazard (Ref. HSEP Fig. 1 – HSE Hazard Ranking), Client contractual/regulatory requirements, or introduces a new hazard category not previously assessed.</w:t>
            </w:r>
          </w:p>
        </w:tc>
        <w:tc>
          <w:tcPr>
            <w:tcW w:w="2350" w:type="dxa"/>
            <w:shd w:val="clear" w:color="auto" w:fill="F2F2F2"/>
            <w:tcMar>
              <w:top w:w="80" w:type="dxa"/>
              <w:left w:w="100" w:type="dxa"/>
              <w:bottom w:w="80" w:type="dxa"/>
              <w:right w:w="100" w:type="dxa"/>
            </w:tcMar>
            <w:vAlign w:val="center"/>
          </w:tcPr>
          <w:p w14:paraId="1CBF2F24" w14:textId="77777777" w:rsidR="00091F0A" w:rsidRDefault="00000000">
            <w:r>
              <w:rPr>
                <w:rFonts w:ascii="Calibri" w:eastAsia="Calibri" w:hAnsi="Calibri" w:cs="Calibri"/>
                <w:color w:val="000000"/>
              </w:rPr>
              <w:t>MOC Committee recommendation + Managing Director final approval</w:t>
            </w:r>
          </w:p>
        </w:tc>
        <w:tc>
          <w:tcPr>
            <w:tcW w:w="2500" w:type="dxa"/>
            <w:shd w:val="clear" w:color="auto" w:fill="F2F2F2"/>
            <w:tcMar>
              <w:top w:w="80" w:type="dxa"/>
              <w:left w:w="100" w:type="dxa"/>
              <w:bottom w:w="80" w:type="dxa"/>
              <w:right w:w="100" w:type="dxa"/>
            </w:tcMar>
            <w:vAlign w:val="center"/>
          </w:tcPr>
          <w:p w14:paraId="6D802E66" w14:textId="77777777" w:rsidR="00091F0A" w:rsidRDefault="00000000">
            <w:r>
              <w:rPr>
                <w:rFonts w:ascii="Calibri" w:eastAsia="Calibri" w:hAnsi="Calibri" w:cs="Calibri"/>
                <w:color w:val="000000"/>
              </w:rPr>
              <w:t>Full HEMP + independent review; MD sign-off required before implementation; HSE-MS System Review notified (Ref. HSEP Sec. 4.8)</w:t>
            </w:r>
          </w:p>
        </w:tc>
      </w:tr>
    </w:tbl>
    <w:p w14:paraId="13044D37" w14:textId="77777777" w:rsidR="00091F0A" w:rsidRDefault="00000000">
      <w:pPr>
        <w:pStyle w:val="Heading1"/>
        <w:pBdr>
          <w:bottom w:val="single" w:sz="8" w:space="4" w:color="1F3864"/>
        </w:pBdr>
        <w:spacing w:before="400" w:after="200"/>
      </w:pPr>
      <w:proofErr w:type="gramStart"/>
      <w:r>
        <w:rPr>
          <w:rFonts w:ascii="Calibri" w:eastAsia="Calibri" w:hAnsi="Calibri" w:cs="Calibri"/>
          <w:b/>
          <w:bCs/>
          <w:color w:val="1F3864"/>
          <w:sz w:val="28"/>
          <w:szCs w:val="28"/>
        </w:rPr>
        <w:t>7.0  REPLACEMENT</w:t>
      </w:r>
      <w:proofErr w:type="gramEnd"/>
      <w:r>
        <w:rPr>
          <w:rFonts w:ascii="Calibri" w:eastAsia="Calibri" w:hAnsi="Calibri" w:cs="Calibri"/>
          <w:b/>
          <w:bCs/>
          <w:color w:val="1F3864"/>
          <w:sz w:val="28"/>
          <w:szCs w:val="28"/>
        </w:rPr>
        <w:t>-IN-KIND (RIK) &amp; EXCLUSIONS</w:t>
      </w:r>
    </w:p>
    <w:p w14:paraId="2712ED15" w14:textId="77777777" w:rsidR="00091F0A" w:rsidRDefault="00000000">
      <w:pPr>
        <w:spacing w:after="140" w:line="276" w:lineRule="auto"/>
        <w:jc w:val="both"/>
      </w:pPr>
      <w:r>
        <w:rPr>
          <w:rFonts w:ascii="Calibri" w:eastAsia="Calibri" w:hAnsi="Calibri" w:cs="Calibri"/>
          <w:sz w:val="22"/>
          <w:szCs w:val="22"/>
        </w:rPr>
        <w:t>A change that meets all of the following criteria may be handled as Replacement-in-Kind rather than through the full MOC process, but shall still be logged in the MOC Register (Section 8) for traceability:</w:t>
      </w:r>
    </w:p>
    <w:p w14:paraId="1C1DF7A7" w14:textId="77777777" w:rsidR="00091F0A" w:rsidRDefault="00000000">
      <w:pPr>
        <w:pStyle w:val="ListParagraph"/>
        <w:numPr>
          <w:ilvl w:val="0"/>
          <w:numId w:val="2"/>
        </w:numPr>
        <w:spacing w:after="90" w:line="276" w:lineRule="auto"/>
      </w:pPr>
      <w:r>
        <w:rPr>
          <w:rFonts w:ascii="Calibri" w:eastAsia="Calibri" w:hAnsi="Calibri" w:cs="Calibri"/>
          <w:sz w:val="22"/>
          <w:szCs w:val="22"/>
        </w:rPr>
        <w:t>The replacement item, material or person has the same specification, function, capacity and performance as the original;</w:t>
      </w:r>
    </w:p>
    <w:p w14:paraId="44B27DE9" w14:textId="77777777" w:rsidR="00091F0A" w:rsidRDefault="00000000">
      <w:pPr>
        <w:pStyle w:val="ListParagraph"/>
        <w:numPr>
          <w:ilvl w:val="0"/>
          <w:numId w:val="2"/>
        </w:numPr>
        <w:spacing w:after="90" w:line="276" w:lineRule="auto"/>
      </w:pPr>
      <w:r>
        <w:rPr>
          <w:rFonts w:ascii="Calibri" w:eastAsia="Calibri" w:hAnsi="Calibri" w:cs="Calibri"/>
          <w:sz w:val="22"/>
          <w:szCs w:val="22"/>
        </w:rPr>
        <w:t>There is no change to the associated JS/HA, Permit-to-Work basis, or HSE-critical control; and,</w:t>
      </w:r>
    </w:p>
    <w:p w14:paraId="0E952EFC" w14:textId="77777777" w:rsidR="00091F0A" w:rsidRDefault="00000000">
      <w:pPr>
        <w:pStyle w:val="ListParagraph"/>
        <w:numPr>
          <w:ilvl w:val="0"/>
          <w:numId w:val="2"/>
        </w:numPr>
        <w:spacing w:after="90" w:line="276" w:lineRule="auto"/>
      </w:pPr>
      <w:r>
        <w:rPr>
          <w:rFonts w:ascii="Calibri" w:eastAsia="Calibri" w:hAnsi="Calibri" w:cs="Calibri"/>
          <w:sz w:val="22"/>
          <w:szCs w:val="22"/>
        </w:rPr>
        <w:t>The replacement does not affect a Major Hazard as defined in the HSE Hazard Ranking (Ref. HSEP Fig. 1).</w:t>
      </w:r>
    </w:p>
    <w:p w14:paraId="0C383D23" w14:textId="77777777" w:rsidR="00091F0A" w:rsidRDefault="00000000">
      <w:pPr>
        <w:spacing w:after="140" w:line="276" w:lineRule="auto"/>
        <w:jc w:val="both"/>
      </w:pPr>
      <w:r>
        <w:rPr>
          <w:rFonts w:ascii="Calibri" w:eastAsia="Calibri" w:hAnsi="Calibri" w:cs="Calibri"/>
          <w:sz w:val="22"/>
          <w:szCs w:val="22"/>
        </w:rPr>
        <w:t>Where any doubt exists as to whether a proposed change qualifies as RIK, it shall default to full MOC screening under Section 6.</w:t>
      </w:r>
    </w:p>
    <w:p w14:paraId="648E150B" w14:textId="77777777" w:rsidR="00091F0A" w:rsidRDefault="00000000">
      <w:pPr>
        <w:pStyle w:val="Heading1"/>
        <w:pBdr>
          <w:bottom w:val="single" w:sz="8" w:space="4" w:color="1F3864"/>
        </w:pBdr>
        <w:spacing w:before="400" w:after="200"/>
      </w:pPr>
      <w:proofErr w:type="gramStart"/>
      <w:r>
        <w:rPr>
          <w:rFonts w:ascii="Calibri" w:eastAsia="Calibri" w:hAnsi="Calibri" w:cs="Calibri"/>
          <w:b/>
          <w:bCs/>
          <w:color w:val="1F3864"/>
          <w:sz w:val="28"/>
          <w:szCs w:val="28"/>
        </w:rPr>
        <w:t>8.0  MOC</w:t>
      </w:r>
      <w:proofErr w:type="gramEnd"/>
      <w:r>
        <w:rPr>
          <w:rFonts w:ascii="Calibri" w:eastAsia="Calibri" w:hAnsi="Calibri" w:cs="Calibri"/>
          <w:b/>
          <w:bCs/>
          <w:color w:val="1F3864"/>
          <w:sz w:val="28"/>
          <w:szCs w:val="28"/>
        </w:rPr>
        <w:t xml:space="preserve"> PROCESS</w:t>
      </w:r>
    </w:p>
    <w:p w14:paraId="39CA4314" w14:textId="77777777" w:rsidR="00091F0A" w:rsidRDefault="00000000">
      <w:pPr>
        <w:spacing w:after="140" w:line="276" w:lineRule="auto"/>
        <w:jc w:val="both"/>
      </w:pPr>
      <w:r>
        <w:rPr>
          <w:rFonts w:ascii="Calibri" w:eastAsia="Calibri" w:hAnsi="Calibri" w:cs="Calibri"/>
          <w:sz w:val="22"/>
          <w:szCs w:val="22"/>
        </w:rPr>
        <w:t>SWDA operates the following eight-step process for every MOC falling within scope:</w:t>
      </w:r>
    </w:p>
    <w:p w14:paraId="1F7C2850" w14:textId="77777777" w:rsidR="00091F0A" w:rsidRDefault="00000000">
      <w:pPr>
        <w:spacing w:before="160" w:after="40"/>
      </w:pPr>
      <w:r>
        <w:rPr>
          <w:rFonts w:ascii="Calibri" w:eastAsia="Calibri" w:hAnsi="Calibri" w:cs="Calibri"/>
          <w:b/>
          <w:bCs/>
          <w:color w:val="1F3864"/>
          <w:sz w:val="22"/>
          <w:szCs w:val="22"/>
        </w:rPr>
        <w:t>Step 1 — Identify &amp; Raise</w:t>
      </w:r>
    </w:p>
    <w:p w14:paraId="79235AED" w14:textId="77777777" w:rsidR="00091F0A" w:rsidRDefault="00000000">
      <w:pPr>
        <w:spacing w:after="140" w:line="276" w:lineRule="auto"/>
        <w:jc w:val="both"/>
        <w:rPr>
          <w:rFonts w:ascii="Calibri" w:eastAsia="Calibri" w:hAnsi="Calibri" w:cs="Calibri"/>
          <w:sz w:val="22"/>
          <w:szCs w:val="22"/>
        </w:rPr>
      </w:pPr>
      <w:r>
        <w:rPr>
          <w:rFonts w:ascii="Calibri" w:eastAsia="Calibri" w:hAnsi="Calibri" w:cs="Calibri"/>
          <w:sz w:val="22"/>
          <w:szCs w:val="22"/>
        </w:rPr>
        <w:t>Any Employee, Supervisor or Contractor who identifies the need for a change completes a Management of Change Request (MOCR) Form before the change is implemented, describing the proposed change, the reason for it, and whether it is Temporary or Permanent.</w:t>
      </w:r>
    </w:p>
    <w:p w14:paraId="02C04333" w14:textId="77777777" w:rsidR="00AA24D5" w:rsidRDefault="00AA24D5">
      <w:pPr>
        <w:spacing w:after="140" w:line="276" w:lineRule="auto"/>
        <w:jc w:val="both"/>
      </w:pPr>
    </w:p>
    <w:p w14:paraId="5C643C71" w14:textId="77777777" w:rsidR="00091F0A" w:rsidRDefault="00000000">
      <w:pPr>
        <w:spacing w:before="160" w:after="40"/>
      </w:pPr>
      <w:r>
        <w:rPr>
          <w:rFonts w:ascii="Calibri" w:eastAsia="Calibri" w:hAnsi="Calibri" w:cs="Calibri"/>
          <w:b/>
          <w:bCs/>
          <w:color w:val="1F3864"/>
          <w:sz w:val="22"/>
          <w:szCs w:val="22"/>
        </w:rPr>
        <w:t xml:space="preserve">Step 2 — Screen &amp; </w:t>
      </w:r>
      <w:proofErr w:type="spellStart"/>
      <w:r>
        <w:rPr>
          <w:rFonts w:ascii="Calibri" w:eastAsia="Calibri" w:hAnsi="Calibri" w:cs="Calibri"/>
          <w:b/>
          <w:bCs/>
          <w:color w:val="1F3864"/>
          <w:sz w:val="22"/>
          <w:szCs w:val="22"/>
        </w:rPr>
        <w:t>Categorise</w:t>
      </w:r>
      <w:proofErr w:type="spellEnd"/>
    </w:p>
    <w:p w14:paraId="0C6FAF1E" w14:textId="77777777" w:rsidR="00091F0A" w:rsidRDefault="00000000">
      <w:pPr>
        <w:spacing w:after="140" w:line="276" w:lineRule="auto"/>
        <w:jc w:val="both"/>
      </w:pPr>
      <w:r>
        <w:rPr>
          <w:rFonts w:ascii="Calibri" w:eastAsia="Calibri" w:hAnsi="Calibri" w:cs="Calibri"/>
          <w:sz w:val="22"/>
          <w:szCs w:val="22"/>
        </w:rPr>
        <w:t>The Department/Project Manager, with the HSE Advisor, confirms the change is not simple Replacement-in-Kind (Section 7), assigns it a Category (Section 5) and a Risk Level — Low, Medium or High — using the Approval Authority Matrix (Section 6).</w:t>
      </w:r>
    </w:p>
    <w:p w14:paraId="339DD33D" w14:textId="77777777" w:rsidR="00091F0A" w:rsidRDefault="00000000">
      <w:pPr>
        <w:spacing w:before="160" w:after="40"/>
      </w:pPr>
      <w:r>
        <w:rPr>
          <w:rFonts w:ascii="Calibri" w:eastAsia="Calibri" w:hAnsi="Calibri" w:cs="Calibri"/>
          <w:b/>
          <w:bCs/>
          <w:color w:val="1F3864"/>
          <w:sz w:val="22"/>
          <w:szCs w:val="22"/>
        </w:rPr>
        <w:t>Step 3 — Assess the Risk</w:t>
      </w:r>
    </w:p>
    <w:p w14:paraId="48BD8D9F" w14:textId="77777777" w:rsidR="00091F0A" w:rsidRDefault="00000000">
      <w:pPr>
        <w:spacing w:after="140" w:line="276" w:lineRule="auto"/>
        <w:jc w:val="both"/>
      </w:pPr>
      <w:r>
        <w:rPr>
          <w:rFonts w:ascii="Calibri" w:eastAsia="Calibri" w:hAnsi="Calibri" w:cs="Calibri"/>
          <w:sz w:val="22"/>
          <w:szCs w:val="22"/>
        </w:rPr>
        <w:t>A risk assessment appropriate to the Risk Level is carried out, ranging from an updated Job HSE Safety/Hazard Analysis (JS/HA) for Low-Risk changes, to a full Hazard &amp; Effects Management Process (HEMP) review for Medium- and High-Risk changes (Ref. HSEP Sec. 4.4).</w:t>
      </w:r>
    </w:p>
    <w:p w14:paraId="2AEEEB06" w14:textId="77777777" w:rsidR="00091F0A" w:rsidRDefault="00000000">
      <w:pPr>
        <w:spacing w:before="160" w:after="40"/>
      </w:pPr>
      <w:r>
        <w:rPr>
          <w:rFonts w:ascii="Calibri" w:eastAsia="Calibri" w:hAnsi="Calibri" w:cs="Calibri"/>
          <w:b/>
          <w:bCs/>
          <w:color w:val="1F3864"/>
          <w:sz w:val="22"/>
          <w:szCs w:val="22"/>
        </w:rPr>
        <w:t>Step 4 — Consult Affected Parties</w:t>
      </w:r>
    </w:p>
    <w:p w14:paraId="2ABB0BFD" w14:textId="77777777" w:rsidR="00091F0A" w:rsidRDefault="00000000">
      <w:pPr>
        <w:spacing w:after="140" w:line="276" w:lineRule="auto"/>
        <w:jc w:val="both"/>
      </w:pPr>
      <w:r>
        <w:rPr>
          <w:rFonts w:ascii="Calibri" w:eastAsia="Calibri" w:hAnsi="Calibri" w:cs="Calibri"/>
          <w:sz w:val="22"/>
          <w:szCs w:val="22"/>
        </w:rPr>
        <w:t>Departments, Contractors, and — where the change affects contractual scope, a Tank Site, or Client interfaces — RAEC, are consulted and their input recorded before approval is sought.</w:t>
      </w:r>
    </w:p>
    <w:p w14:paraId="64C7B556" w14:textId="77777777" w:rsidR="00091F0A" w:rsidRDefault="00000000">
      <w:pPr>
        <w:spacing w:before="160" w:after="40"/>
      </w:pPr>
      <w:r>
        <w:rPr>
          <w:rFonts w:ascii="Calibri" w:eastAsia="Calibri" w:hAnsi="Calibri" w:cs="Calibri"/>
          <w:b/>
          <w:bCs/>
          <w:color w:val="1F3864"/>
          <w:sz w:val="22"/>
          <w:szCs w:val="22"/>
        </w:rPr>
        <w:t>Step 5 — Approve</w:t>
      </w:r>
    </w:p>
    <w:p w14:paraId="5C848892" w14:textId="77777777" w:rsidR="00091F0A" w:rsidRDefault="00000000">
      <w:pPr>
        <w:spacing w:after="140" w:line="276" w:lineRule="auto"/>
        <w:jc w:val="both"/>
      </w:pPr>
      <w:r>
        <w:rPr>
          <w:rFonts w:ascii="Calibri" w:eastAsia="Calibri" w:hAnsi="Calibri" w:cs="Calibri"/>
          <w:sz w:val="22"/>
          <w:szCs w:val="22"/>
        </w:rPr>
        <w:t>The MOCR is approved by the authority defined in the Approval Authority Matrix (Section 6). High-Risk / Major Changes require the Managing Director's personal, documented sign-off before implementation.</w:t>
      </w:r>
    </w:p>
    <w:p w14:paraId="63782B31" w14:textId="77777777" w:rsidR="00091F0A" w:rsidRDefault="00000000">
      <w:pPr>
        <w:spacing w:before="160" w:after="40"/>
      </w:pPr>
      <w:r>
        <w:rPr>
          <w:rFonts w:ascii="Calibri" w:eastAsia="Calibri" w:hAnsi="Calibri" w:cs="Calibri"/>
          <w:b/>
          <w:bCs/>
          <w:color w:val="1F3864"/>
          <w:sz w:val="22"/>
          <w:szCs w:val="22"/>
        </w:rPr>
        <w:t>Step 6 — Implement</w:t>
      </w:r>
    </w:p>
    <w:p w14:paraId="141DF50F" w14:textId="77777777" w:rsidR="00091F0A" w:rsidRDefault="00000000">
      <w:pPr>
        <w:spacing w:after="140" w:line="276" w:lineRule="auto"/>
        <w:jc w:val="both"/>
      </w:pPr>
      <w:r>
        <w:rPr>
          <w:rFonts w:ascii="Calibri" w:eastAsia="Calibri" w:hAnsi="Calibri" w:cs="Calibri"/>
          <w:sz w:val="22"/>
          <w:szCs w:val="22"/>
        </w:rPr>
        <w:t>The change is implemented only after approval is granted. All affected HSE-MS documents (HSEP, SS-HSEP, JS/HA, Consumables/Equipment Lists, Permits) are updated, and affected personnel are briefed / trained before the change goes live.</w:t>
      </w:r>
    </w:p>
    <w:p w14:paraId="5C4EF665" w14:textId="77777777" w:rsidR="00091F0A" w:rsidRDefault="00000000">
      <w:pPr>
        <w:spacing w:before="160" w:after="40"/>
      </w:pPr>
      <w:r>
        <w:rPr>
          <w:rFonts w:ascii="Calibri" w:eastAsia="Calibri" w:hAnsi="Calibri" w:cs="Calibri"/>
          <w:b/>
          <w:bCs/>
          <w:color w:val="1F3864"/>
          <w:sz w:val="22"/>
          <w:szCs w:val="22"/>
        </w:rPr>
        <w:t>Step 7 — Verify &amp; Close Out</w:t>
      </w:r>
    </w:p>
    <w:p w14:paraId="5C4F7880" w14:textId="77777777" w:rsidR="00091F0A" w:rsidRDefault="00000000">
      <w:pPr>
        <w:spacing w:after="140" w:line="276" w:lineRule="auto"/>
        <w:jc w:val="both"/>
      </w:pPr>
      <w:r>
        <w:rPr>
          <w:rFonts w:ascii="Calibri" w:eastAsia="Calibri" w:hAnsi="Calibri" w:cs="Calibri"/>
          <w:sz w:val="22"/>
          <w:szCs w:val="22"/>
        </w:rPr>
        <w:t>The HSE Advisor verifies the change has been implemented as approved and that any residual actions are complete, then closes the MOCR in the MOC Register (Section 8).</w:t>
      </w:r>
    </w:p>
    <w:p w14:paraId="6FCEB158" w14:textId="77777777" w:rsidR="00091F0A" w:rsidRDefault="00000000">
      <w:pPr>
        <w:spacing w:before="160" w:after="40"/>
      </w:pPr>
      <w:r>
        <w:rPr>
          <w:rFonts w:ascii="Calibri" w:eastAsia="Calibri" w:hAnsi="Calibri" w:cs="Calibri"/>
          <w:b/>
          <w:bCs/>
          <w:color w:val="1F3864"/>
          <w:sz w:val="22"/>
          <w:szCs w:val="22"/>
        </w:rPr>
        <w:t>Step 8 — Communicate &amp; Review</w:t>
      </w:r>
    </w:p>
    <w:p w14:paraId="67767DEB" w14:textId="77777777" w:rsidR="00091F0A" w:rsidRDefault="00000000">
      <w:pPr>
        <w:spacing w:after="140" w:line="276" w:lineRule="auto"/>
        <w:jc w:val="both"/>
      </w:pPr>
      <w:r>
        <w:rPr>
          <w:rFonts w:ascii="Calibri" w:eastAsia="Calibri" w:hAnsi="Calibri" w:cs="Calibri"/>
          <w:sz w:val="22"/>
          <w:szCs w:val="22"/>
        </w:rPr>
        <w:t xml:space="preserve">The outcome is communicated to all affected Employees and Contractors. Closed MOCRs are reviewed at the quarterly Regulatory Review Committee / HSE meeting and </w:t>
      </w:r>
      <w:proofErr w:type="spellStart"/>
      <w:r>
        <w:rPr>
          <w:rFonts w:ascii="Calibri" w:eastAsia="Calibri" w:hAnsi="Calibri" w:cs="Calibri"/>
          <w:sz w:val="22"/>
          <w:szCs w:val="22"/>
        </w:rPr>
        <w:t>summarised</w:t>
      </w:r>
      <w:proofErr w:type="spellEnd"/>
      <w:r>
        <w:rPr>
          <w:rFonts w:ascii="Calibri" w:eastAsia="Calibri" w:hAnsi="Calibri" w:cs="Calibri"/>
          <w:sz w:val="22"/>
          <w:szCs w:val="22"/>
        </w:rPr>
        <w:t xml:space="preserve"> in the annual HSE-MS System Review (Ref. HSEP Sec. 4.8).</w:t>
      </w:r>
    </w:p>
    <w:p w14:paraId="47C99170" w14:textId="62E36BA5" w:rsidR="00091F0A" w:rsidRDefault="00AA24D5">
      <w:pPr>
        <w:pStyle w:val="Heading1"/>
        <w:pBdr>
          <w:bottom w:val="single" w:sz="8" w:space="4" w:color="1F3864"/>
        </w:pBdr>
        <w:spacing w:before="400" w:after="200"/>
      </w:pPr>
      <w:r>
        <w:rPr>
          <w:rFonts w:ascii="Calibri" w:eastAsia="Calibri" w:hAnsi="Calibri" w:cs="Calibri"/>
          <w:b/>
          <w:bCs/>
          <w:color w:val="1F3864"/>
          <w:sz w:val="28"/>
          <w:szCs w:val="28"/>
        </w:rPr>
        <w:t>9.0 MOC REGISTER</w:t>
      </w:r>
    </w:p>
    <w:p w14:paraId="1ADD5333" w14:textId="77777777" w:rsidR="00091F0A" w:rsidRDefault="00000000">
      <w:pPr>
        <w:spacing w:after="140" w:line="276" w:lineRule="auto"/>
        <w:jc w:val="both"/>
      </w:pPr>
      <w:r>
        <w:rPr>
          <w:rFonts w:ascii="Calibri" w:eastAsia="Calibri" w:hAnsi="Calibri" w:cs="Calibri"/>
          <w:sz w:val="22"/>
          <w:szCs w:val="22"/>
        </w:rPr>
        <w:t>Every MOCR — including Emergency Changes and RIK items logged under Section 7 — is recorded in the SWDA MOC Register, owned by the HSE Manager and available for review by the MD, the MOC Committee, RAEC and SWDA's HSE Auditors. The Register template is structured as follows (populated register maintained separately as a controlled HSE-MS document):</w:t>
      </w:r>
    </w:p>
    <w:tbl>
      <w:tblPr>
        <w:tblW w:w="985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77"/>
        <w:gridCol w:w="888"/>
        <w:gridCol w:w="1000"/>
        <w:gridCol w:w="1111"/>
        <w:gridCol w:w="889"/>
        <w:gridCol w:w="2110"/>
        <w:gridCol w:w="1131"/>
        <w:gridCol w:w="889"/>
        <w:gridCol w:w="1055"/>
      </w:tblGrid>
      <w:tr w:rsidR="00091F0A" w14:paraId="347AB7EA" w14:textId="77777777">
        <w:trPr>
          <w:tblHeader/>
        </w:trPr>
        <w:tc>
          <w:tcPr>
            <w:tcW w:w="700" w:type="dxa"/>
            <w:shd w:val="clear" w:color="auto" w:fill="1F3864"/>
            <w:tcMar>
              <w:top w:w="80" w:type="dxa"/>
              <w:left w:w="100" w:type="dxa"/>
              <w:bottom w:w="80" w:type="dxa"/>
              <w:right w:w="100" w:type="dxa"/>
            </w:tcMar>
            <w:vAlign w:val="center"/>
          </w:tcPr>
          <w:p w14:paraId="37CD9961" w14:textId="77777777" w:rsidR="00091F0A" w:rsidRDefault="00000000">
            <w:r>
              <w:rPr>
                <w:rFonts w:ascii="Calibri" w:eastAsia="Calibri" w:hAnsi="Calibri" w:cs="Calibri"/>
                <w:b/>
                <w:bCs/>
                <w:color w:val="FFFFFF"/>
              </w:rPr>
              <w:t>MOC No.</w:t>
            </w:r>
          </w:p>
        </w:tc>
        <w:tc>
          <w:tcPr>
            <w:tcW w:w="800" w:type="dxa"/>
            <w:shd w:val="clear" w:color="auto" w:fill="1F3864"/>
            <w:tcMar>
              <w:top w:w="80" w:type="dxa"/>
              <w:left w:w="100" w:type="dxa"/>
              <w:bottom w:w="80" w:type="dxa"/>
              <w:right w:w="100" w:type="dxa"/>
            </w:tcMar>
            <w:vAlign w:val="center"/>
          </w:tcPr>
          <w:p w14:paraId="6581ED83" w14:textId="77777777" w:rsidR="00091F0A" w:rsidRDefault="00000000">
            <w:r>
              <w:rPr>
                <w:rFonts w:ascii="Calibri" w:eastAsia="Calibri" w:hAnsi="Calibri" w:cs="Calibri"/>
                <w:b/>
                <w:bCs/>
                <w:color w:val="FFFFFF"/>
              </w:rPr>
              <w:t>Date Raised</w:t>
            </w:r>
          </w:p>
        </w:tc>
        <w:tc>
          <w:tcPr>
            <w:tcW w:w="900" w:type="dxa"/>
            <w:shd w:val="clear" w:color="auto" w:fill="1F3864"/>
            <w:tcMar>
              <w:top w:w="80" w:type="dxa"/>
              <w:left w:w="100" w:type="dxa"/>
              <w:bottom w:w="80" w:type="dxa"/>
              <w:right w:w="100" w:type="dxa"/>
            </w:tcMar>
            <w:vAlign w:val="center"/>
          </w:tcPr>
          <w:p w14:paraId="44819B2C" w14:textId="77777777" w:rsidR="00091F0A" w:rsidRDefault="00000000">
            <w:r>
              <w:rPr>
                <w:rFonts w:ascii="Calibri" w:eastAsia="Calibri" w:hAnsi="Calibri" w:cs="Calibri"/>
                <w:b/>
                <w:bCs/>
                <w:color w:val="FFFFFF"/>
              </w:rPr>
              <w:t>Initiator</w:t>
            </w:r>
          </w:p>
        </w:tc>
        <w:tc>
          <w:tcPr>
            <w:tcW w:w="1000" w:type="dxa"/>
            <w:shd w:val="clear" w:color="auto" w:fill="1F3864"/>
            <w:tcMar>
              <w:top w:w="80" w:type="dxa"/>
              <w:left w:w="100" w:type="dxa"/>
              <w:bottom w:w="80" w:type="dxa"/>
              <w:right w:w="100" w:type="dxa"/>
            </w:tcMar>
            <w:vAlign w:val="center"/>
          </w:tcPr>
          <w:p w14:paraId="3B2AC5FE" w14:textId="77777777" w:rsidR="00091F0A" w:rsidRDefault="00000000">
            <w:r>
              <w:rPr>
                <w:rFonts w:ascii="Calibri" w:eastAsia="Calibri" w:hAnsi="Calibri" w:cs="Calibri"/>
                <w:b/>
                <w:bCs/>
                <w:color w:val="FFFFFF"/>
              </w:rPr>
              <w:t>Category</w:t>
            </w:r>
          </w:p>
        </w:tc>
        <w:tc>
          <w:tcPr>
            <w:tcW w:w="800" w:type="dxa"/>
            <w:shd w:val="clear" w:color="auto" w:fill="1F3864"/>
            <w:tcMar>
              <w:top w:w="80" w:type="dxa"/>
              <w:left w:w="100" w:type="dxa"/>
              <w:bottom w:w="80" w:type="dxa"/>
              <w:right w:w="100" w:type="dxa"/>
            </w:tcMar>
            <w:vAlign w:val="center"/>
          </w:tcPr>
          <w:p w14:paraId="72FA8766" w14:textId="77777777" w:rsidR="00091F0A" w:rsidRDefault="00000000">
            <w:r>
              <w:rPr>
                <w:rFonts w:ascii="Calibri" w:eastAsia="Calibri" w:hAnsi="Calibri" w:cs="Calibri"/>
                <w:b/>
                <w:bCs/>
                <w:color w:val="FFFFFF"/>
              </w:rPr>
              <w:t>Risk Level</w:t>
            </w:r>
          </w:p>
        </w:tc>
        <w:tc>
          <w:tcPr>
            <w:tcW w:w="1900" w:type="dxa"/>
            <w:shd w:val="clear" w:color="auto" w:fill="1F3864"/>
            <w:tcMar>
              <w:top w:w="80" w:type="dxa"/>
              <w:left w:w="100" w:type="dxa"/>
              <w:bottom w:w="80" w:type="dxa"/>
              <w:right w:w="100" w:type="dxa"/>
            </w:tcMar>
            <w:vAlign w:val="center"/>
          </w:tcPr>
          <w:p w14:paraId="10294400" w14:textId="77777777" w:rsidR="00091F0A" w:rsidRDefault="00000000">
            <w:r>
              <w:rPr>
                <w:rFonts w:ascii="Calibri" w:eastAsia="Calibri" w:hAnsi="Calibri" w:cs="Calibri"/>
                <w:b/>
                <w:bCs/>
                <w:color w:val="FFFFFF"/>
              </w:rPr>
              <w:t>Description</w:t>
            </w:r>
          </w:p>
        </w:tc>
        <w:tc>
          <w:tcPr>
            <w:tcW w:w="1000" w:type="dxa"/>
            <w:shd w:val="clear" w:color="auto" w:fill="1F3864"/>
            <w:tcMar>
              <w:top w:w="80" w:type="dxa"/>
              <w:left w:w="100" w:type="dxa"/>
              <w:bottom w:w="80" w:type="dxa"/>
              <w:right w:w="100" w:type="dxa"/>
            </w:tcMar>
            <w:vAlign w:val="center"/>
          </w:tcPr>
          <w:p w14:paraId="1A2275DD" w14:textId="77777777" w:rsidR="00091F0A" w:rsidRDefault="00000000">
            <w:r>
              <w:rPr>
                <w:rFonts w:ascii="Calibri" w:eastAsia="Calibri" w:hAnsi="Calibri" w:cs="Calibri"/>
                <w:b/>
                <w:bCs/>
                <w:color w:val="FFFFFF"/>
              </w:rPr>
              <w:t>Approved By</w:t>
            </w:r>
          </w:p>
        </w:tc>
        <w:tc>
          <w:tcPr>
            <w:tcW w:w="800" w:type="dxa"/>
            <w:shd w:val="clear" w:color="auto" w:fill="1F3864"/>
            <w:tcMar>
              <w:top w:w="80" w:type="dxa"/>
              <w:left w:w="100" w:type="dxa"/>
              <w:bottom w:w="80" w:type="dxa"/>
              <w:right w:w="100" w:type="dxa"/>
            </w:tcMar>
            <w:vAlign w:val="center"/>
          </w:tcPr>
          <w:p w14:paraId="37106C2A" w14:textId="77777777" w:rsidR="00091F0A" w:rsidRDefault="00000000">
            <w:r>
              <w:rPr>
                <w:rFonts w:ascii="Calibri" w:eastAsia="Calibri" w:hAnsi="Calibri" w:cs="Calibri"/>
                <w:b/>
                <w:bCs/>
                <w:color w:val="FFFFFF"/>
              </w:rPr>
              <w:t>Status</w:t>
            </w:r>
          </w:p>
        </w:tc>
        <w:tc>
          <w:tcPr>
            <w:tcW w:w="950" w:type="dxa"/>
            <w:shd w:val="clear" w:color="auto" w:fill="1F3864"/>
            <w:tcMar>
              <w:top w:w="80" w:type="dxa"/>
              <w:left w:w="100" w:type="dxa"/>
              <w:bottom w:w="80" w:type="dxa"/>
              <w:right w:w="100" w:type="dxa"/>
            </w:tcMar>
            <w:vAlign w:val="center"/>
          </w:tcPr>
          <w:p w14:paraId="0C1248AC" w14:textId="77777777" w:rsidR="00091F0A" w:rsidRDefault="00000000">
            <w:r>
              <w:rPr>
                <w:rFonts w:ascii="Calibri" w:eastAsia="Calibri" w:hAnsi="Calibri" w:cs="Calibri"/>
                <w:b/>
                <w:bCs/>
                <w:color w:val="FFFFFF"/>
              </w:rPr>
              <w:t>Close-Out Date</w:t>
            </w:r>
          </w:p>
        </w:tc>
      </w:tr>
      <w:tr w:rsidR="00091F0A" w14:paraId="6FFC1CAB" w14:textId="77777777">
        <w:tc>
          <w:tcPr>
            <w:tcW w:w="700" w:type="dxa"/>
            <w:shd w:val="clear" w:color="auto" w:fill="F2F2F2"/>
            <w:tcMar>
              <w:top w:w="80" w:type="dxa"/>
              <w:left w:w="100" w:type="dxa"/>
              <w:bottom w:w="80" w:type="dxa"/>
              <w:right w:w="100" w:type="dxa"/>
            </w:tcMar>
            <w:vAlign w:val="center"/>
          </w:tcPr>
          <w:p w14:paraId="62EE6625" w14:textId="77777777" w:rsidR="00091F0A" w:rsidRDefault="00091F0A"/>
        </w:tc>
        <w:tc>
          <w:tcPr>
            <w:tcW w:w="800" w:type="dxa"/>
            <w:shd w:val="clear" w:color="auto" w:fill="F2F2F2"/>
            <w:tcMar>
              <w:top w:w="80" w:type="dxa"/>
              <w:left w:w="100" w:type="dxa"/>
              <w:bottom w:w="80" w:type="dxa"/>
              <w:right w:w="100" w:type="dxa"/>
            </w:tcMar>
            <w:vAlign w:val="center"/>
          </w:tcPr>
          <w:p w14:paraId="6ED186FC" w14:textId="77777777" w:rsidR="00091F0A" w:rsidRDefault="00091F0A"/>
        </w:tc>
        <w:tc>
          <w:tcPr>
            <w:tcW w:w="900" w:type="dxa"/>
            <w:shd w:val="clear" w:color="auto" w:fill="F2F2F2"/>
            <w:tcMar>
              <w:top w:w="80" w:type="dxa"/>
              <w:left w:w="100" w:type="dxa"/>
              <w:bottom w:w="80" w:type="dxa"/>
              <w:right w:w="100" w:type="dxa"/>
            </w:tcMar>
            <w:vAlign w:val="center"/>
          </w:tcPr>
          <w:p w14:paraId="773460D0" w14:textId="77777777" w:rsidR="00091F0A" w:rsidRDefault="00091F0A"/>
        </w:tc>
        <w:tc>
          <w:tcPr>
            <w:tcW w:w="1000" w:type="dxa"/>
            <w:shd w:val="clear" w:color="auto" w:fill="F2F2F2"/>
            <w:tcMar>
              <w:top w:w="80" w:type="dxa"/>
              <w:left w:w="100" w:type="dxa"/>
              <w:bottom w:w="80" w:type="dxa"/>
              <w:right w:w="100" w:type="dxa"/>
            </w:tcMar>
            <w:vAlign w:val="center"/>
          </w:tcPr>
          <w:p w14:paraId="2F7301BA" w14:textId="77777777" w:rsidR="00091F0A" w:rsidRDefault="00091F0A"/>
        </w:tc>
        <w:tc>
          <w:tcPr>
            <w:tcW w:w="800" w:type="dxa"/>
            <w:shd w:val="clear" w:color="auto" w:fill="F2F2F2"/>
            <w:tcMar>
              <w:top w:w="80" w:type="dxa"/>
              <w:left w:w="100" w:type="dxa"/>
              <w:bottom w:w="80" w:type="dxa"/>
              <w:right w:w="100" w:type="dxa"/>
            </w:tcMar>
            <w:vAlign w:val="center"/>
          </w:tcPr>
          <w:p w14:paraId="6A160147" w14:textId="77777777" w:rsidR="00091F0A" w:rsidRDefault="00091F0A"/>
        </w:tc>
        <w:tc>
          <w:tcPr>
            <w:tcW w:w="1900" w:type="dxa"/>
            <w:shd w:val="clear" w:color="auto" w:fill="F2F2F2"/>
            <w:tcMar>
              <w:top w:w="80" w:type="dxa"/>
              <w:left w:w="100" w:type="dxa"/>
              <w:bottom w:w="80" w:type="dxa"/>
              <w:right w:w="100" w:type="dxa"/>
            </w:tcMar>
            <w:vAlign w:val="center"/>
          </w:tcPr>
          <w:p w14:paraId="693BF049" w14:textId="77777777" w:rsidR="00091F0A" w:rsidRDefault="00091F0A"/>
        </w:tc>
        <w:tc>
          <w:tcPr>
            <w:tcW w:w="1000" w:type="dxa"/>
            <w:shd w:val="clear" w:color="auto" w:fill="F2F2F2"/>
            <w:tcMar>
              <w:top w:w="80" w:type="dxa"/>
              <w:left w:w="100" w:type="dxa"/>
              <w:bottom w:w="80" w:type="dxa"/>
              <w:right w:w="100" w:type="dxa"/>
            </w:tcMar>
            <w:vAlign w:val="center"/>
          </w:tcPr>
          <w:p w14:paraId="3B7E0526" w14:textId="77777777" w:rsidR="00091F0A" w:rsidRDefault="00091F0A"/>
        </w:tc>
        <w:tc>
          <w:tcPr>
            <w:tcW w:w="800" w:type="dxa"/>
            <w:shd w:val="clear" w:color="auto" w:fill="F2F2F2"/>
            <w:tcMar>
              <w:top w:w="80" w:type="dxa"/>
              <w:left w:w="100" w:type="dxa"/>
              <w:bottom w:w="80" w:type="dxa"/>
              <w:right w:w="100" w:type="dxa"/>
            </w:tcMar>
            <w:vAlign w:val="center"/>
          </w:tcPr>
          <w:p w14:paraId="6C985A78" w14:textId="77777777" w:rsidR="00091F0A" w:rsidRDefault="00091F0A"/>
        </w:tc>
        <w:tc>
          <w:tcPr>
            <w:tcW w:w="950" w:type="dxa"/>
            <w:shd w:val="clear" w:color="auto" w:fill="F2F2F2"/>
            <w:tcMar>
              <w:top w:w="80" w:type="dxa"/>
              <w:left w:w="100" w:type="dxa"/>
              <w:bottom w:w="80" w:type="dxa"/>
              <w:right w:w="100" w:type="dxa"/>
            </w:tcMar>
            <w:vAlign w:val="center"/>
          </w:tcPr>
          <w:p w14:paraId="2BD39B5E" w14:textId="77777777" w:rsidR="00091F0A" w:rsidRDefault="00091F0A"/>
        </w:tc>
      </w:tr>
      <w:tr w:rsidR="00091F0A" w14:paraId="22A44DB4" w14:textId="77777777">
        <w:tc>
          <w:tcPr>
            <w:tcW w:w="700" w:type="dxa"/>
            <w:shd w:val="clear" w:color="auto" w:fill="FFFFFF"/>
            <w:tcMar>
              <w:top w:w="80" w:type="dxa"/>
              <w:left w:w="100" w:type="dxa"/>
              <w:bottom w:w="80" w:type="dxa"/>
              <w:right w:w="100" w:type="dxa"/>
            </w:tcMar>
            <w:vAlign w:val="center"/>
          </w:tcPr>
          <w:p w14:paraId="35E4BCD0" w14:textId="77777777" w:rsidR="00091F0A" w:rsidRDefault="00091F0A"/>
        </w:tc>
        <w:tc>
          <w:tcPr>
            <w:tcW w:w="800" w:type="dxa"/>
            <w:shd w:val="clear" w:color="auto" w:fill="FFFFFF"/>
            <w:tcMar>
              <w:top w:w="80" w:type="dxa"/>
              <w:left w:w="100" w:type="dxa"/>
              <w:bottom w:w="80" w:type="dxa"/>
              <w:right w:w="100" w:type="dxa"/>
            </w:tcMar>
            <w:vAlign w:val="center"/>
          </w:tcPr>
          <w:p w14:paraId="232C5899" w14:textId="77777777" w:rsidR="00091F0A" w:rsidRDefault="00091F0A"/>
        </w:tc>
        <w:tc>
          <w:tcPr>
            <w:tcW w:w="900" w:type="dxa"/>
            <w:shd w:val="clear" w:color="auto" w:fill="FFFFFF"/>
            <w:tcMar>
              <w:top w:w="80" w:type="dxa"/>
              <w:left w:w="100" w:type="dxa"/>
              <w:bottom w:w="80" w:type="dxa"/>
              <w:right w:w="100" w:type="dxa"/>
            </w:tcMar>
            <w:vAlign w:val="center"/>
          </w:tcPr>
          <w:p w14:paraId="774FA1AC" w14:textId="77777777" w:rsidR="00091F0A" w:rsidRDefault="00091F0A"/>
        </w:tc>
        <w:tc>
          <w:tcPr>
            <w:tcW w:w="1000" w:type="dxa"/>
            <w:shd w:val="clear" w:color="auto" w:fill="FFFFFF"/>
            <w:tcMar>
              <w:top w:w="80" w:type="dxa"/>
              <w:left w:w="100" w:type="dxa"/>
              <w:bottom w:w="80" w:type="dxa"/>
              <w:right w:w="100" w:type="dxa"/>
            </w:tcMar>
            <w:vAlign w:val="center"/>
          </w:tcPr>
          <w:p w14:paraId="44FA3740" w14:textId="77777777" w:rsidR="00091F0A" w:rsidRDefault="00091F0A"/>
        </w:tc>
        <w:tc>
          <w:tcPr>
            <w:tcW w:w="800" w:type="dxa"/>
            <w:shd w:val="clear" w:color="auto" w:fill="FFFFFF"/>
            <w:tcMar>
              <w:top w:w="80" w:type="dxa"/>
              <w:left w:w="100" w:type="dxa"/>
              <w:bottom w:w="80" w:type="dxa"/>
              <w:right w:w="100" w:type="dxa"/>
            </w:tcMar>
            <w:vAlign w:val="center"/>
          </w:tcPr>
          <w:p w14:paraId="4E265E27" w14:textId="77777777" w:rsidR="00091F0A" w:rsidRDefault="00091F0A"/>
        </w:tc>
        <w:tc>
          <w:tcPr>
            <w:tcW w:w="1900" w:type="dxa"/>
            <w:shd w:val="clear" w:color="auto" w:fill="FFFFFF"/>
            <w:tcMar>
              <w:top w:w="80" w:type="dxa"/>
              <w:left w:w="100" w:type="dxa"/>
              <w:bottom w:w="80" w:type="dxa"/>
              <w:right w:w="100" w:type="dxa"/>
            </w:tcMar>
            <w:vAlign w:val="center"/>
          </w:tcPr>
          <w:p w14:paraId="30F6D815" w14:textId="77777777" w:rsidR="00091F0A" w:rsidRDefault="00091F0A"/>
        </w:tc>
        <w:tc>
          <w:tcPr>
            <w:tcW w:w="1000" w:type="dxa"/>
            <w:shd w:val="clear" w:color="auto" w:fill="FFFFFF"/>
            <w:tcMar>
              <w:top w:w="80" w:type="dxa"/>
              <w:left w:w="100" w:type="dxa"/>
              <w:bottom w:w="80" w:type="dxa"/>
              <w:right w:w="100" w:type="dxa"/>
            </w:tcMar>
            <w:vAlign w:val="center"/>
          </w:tcPr>
          <w:p w14:paraId="08CC7646" w14:textId="77777777" w:rsidR="00091F0A" w:rsidRDefault="00091F0A"/>
        </w:tc>
        <w:tc>
          <w:tcPr>
            <w:tcW w:w="800" w:type="dxa"/>
            <w:shd w:val="clear" w:color="auto" w:fill="FFFFFF"/>
            <w:tcMar>
              <w:top w:w="80" w:type="dxa"/>
              <w:left w:w="100" w:type="dxa"/>
              <w:bottom w:w="80" w:type="dxa"/>
              <w:right w:w="100" w:type="dxa"/>
            </w:tcMar>
            <w:vAlign w:val="center"/>
          </w:tcPr>
          <w:p w14:paraId="26E20A56" w14:textId="77777777" w:rsidR="00091F0A" w:rsidRDefault="00091F0A"/>
        </w:tc>
        <w:tc>
          <w:tcPr>
            <w:tcW w:w="950" w:type="dxa"/>
            <w:shd w:val="clear" w:color="auto" w:fill="FFFFFF"/>
            <w:tcMar>
              <w:top w:w="80" w:type="dxa"/>
              <w:left w:w="100" w:type="dxa"/>
              <w:bottom w:w="80" w:type="dxa"/>
              <w:right w:w="100" w:type="dxa"/>
            </w:tcMar>
            <w:vAlign w:val="center"/>
          </w:tcPr>
          <w:p w14:paraId="48B353D7" w14:textId="77777777" w:rsidR="00091F0A" w:rsidRDefault="00091F0A"/>
        </w:tc>
      </w:tr>
      <w:tr w:rsidR="00091F0A" w14:paraId="32EC822A" w14:textId="77777777">
        <w:tc>
          <w:tcPr>
            <w:tcW w:w="700" w:type="dxa"/>
            <w:shd w:val="clear" w:color="auto" w:fill="F2F2F2"/>
            <w:tcMar>
              <w:top w:w="80" w:type="dxa"/>
              <w:left w:w="100" w:type="dxa"/>
              <w:bottom w:w="80" w:type="dxa"/>
              <w:right w:w="100" w:type="dxa"/>
            </w:tcMar>
            <w:vAlign w:val="center"/>
          </w:tcPr>
          <w:p w14:paraId="1445A9C4" w14:textId="77777777" w:rsidR="00091F0A" w:rsidRDefault="00091F0A"/>
        </w:tc>
        <w:tc>
          <w:tcPr>
            <w:tcW w:w="800" w:type="dxa"/>
            <w:shd w:val="clear" w:color="auto" w:fill="F2F2F2"/>
            <w:tcMar>
              <w:top w:w="80" w:type="dxa"/>
              <w:left w:w="100" w:type="dxa"/>
              <w:bottom w:w="80" w:type="dxa"/>
              <w:right w:w="100" w:type="dxa"/>
            </w:tcMar>
            <w:vAlign w:val="center"/>
          </w:tcPr>
          <w:p w14:paraId="4F8E8098" w14:textId="77777777" w:rsidR="00091F0A" w:rsidRDefault="00091F0A"/>
        </w:tc>
        <w:tc>
          <w:tcPr>
            <w:tcW w:w="900" w:type="dxa"/>
            <w:shd w:val="clear" w:color="auto" w:fill="F2F2F2"/>
            <w:tcMar>
              <w:top w:w="80" w:type="dxa"/>
              <w:left w:w="100" w:type="dxa"/>
              <w:bottom w:w="80" w:type="dxa"/>
              <w:right w:w="100" w:type="dxa"/>
            </w:tcMar>
            <w:vAlign w:val="center"/>
          </w:tcPr>
          <w:p w14:paraId="28E8307F" w14:textId="77777777" w:rsidR="00091F0A" w:rsidRDefault="00091F0A"/>
        </w:tc>
        <w:tc>
          <w:tcPr>
            <w:tcW w:w="1000" w:type="dxa"/>
            <w:shd w:val="clear" w:color="auto" w:fill="F2F2F2"/>
            <w:tcMar>
              <w:top w:w="80" w:type="dxa"/>
              <w:left w:w="100" w:type="dxa"/>
              <w:bottom w:w="80" w:type="dxa"/>
              <w:right w:w="100" w:type="dxa"/>
            </w:tcMar>
            <w:vAlign w:val="center"/>
          </w:tcPr>
          <w:p w14:paraId="6E99337A" w14:textId="77777777" w:rsidR="00091F0A" w:rsidRDefault="00091F0A"/>
        </w:tc>
        <w:tc>
          <w:tcPr>
            <w:tcW w:w="800" w:type="dxa"/>
            <w:shd w:val="clear" w:color="auto" w:fill="F2F2F2"/>
            <w:tcMar>
              <w:top w:w="80" w:type="dxa"/>
              <w:left w:w="100" w:type="dxa"/>
              <w:bottom w:w="80" w:type="dxa"/>
              <w:right w:w="100" w:type="dxa"/>
            </w:tcMar>
            <w:vAlign w:val="center"/>
          </w:tcPr>
          <w:p w14:paraId="0658CA22" w14:textId="77777777" w:rsidR="00091F0A" w:rsidRDefault="00091F0A"/>
        </w:tc>
        <w:tc>
          <w:tcPr>
            <w:tcW w:w="1900" w:type="dxa"/>
            <w:shd w:val="clear" w:color="auto" w:fill="F2F2F2"/>
            <w:tcMar>
              <w:top w:w="80" w:type="dxa"/>
              <w:left w:w="100" w:type="dxa"/>
              <w:bottom w:w="80" w:type="dxa"/>
              <w:right w:w="100" w:type="dxa"/>
            </w:tcMar>
            <w:vAlign w:val="center"/>
          </w:tcPr>
          <w:p w14:paraId="174F22BE" w14:textId="77777777" w:rsidR="00091F0A" w:rsidRDefault="00091F0A"/>
        </w:tc>
        <w:tc>
          <w:tcPr>
            <w:tcW w:w="1000" w:type="dxa"/>
            <w:shd w:val="clear" w:color="auto" w:fill="F2F2F2"/>
            <w:tcMar>
              <w:top w:w="80" w:type="dxa"/>
              <w:left w:w="100" w:type="dxa"/>
              <w:bottom w:w="80" w:type="dxa"/>
              <w:right w:w="100" w:type="dxa"/>
            </w:tcMar>
            <w:vAlign w:val="center"/>
          </w:tcPr>
          <w:p w14:paraId="51F482D4" w14:textId="77777777" w:rsidR="00091F0A" w:rsidRDefault="00091F0A"/>
        </w:tc>
        <w:tc>
          <w:tcPr>
            <w:tcW w:w="800" w:type="dxa"/>
            <w:shd w:val="clear" w:color="auto" w:fill="F2F2F2"/>
            <w:tcMar>
              <w:top w:w="80" w:type="dxa"/>
              <w:left w:w="100" w:type="dxa"/>
              <w:bottom w:w="80" w:type="dxa"/>
              <w:right w:w="100" w:type="dxa"/>
            </w:tcMar>
            <w:vAlign w:val="center"/>
          </w:tcPr>
          <w:p w14:paraId="2C4BD483" w14:textId="77777777" w:rsidR="00091F0A" w:rsidRDefault="00091F0A"/>
        </w:tc>
        <w:tc>
          <w:tcPr>
            <w:tcW w:w="950" w:type="dxa"/>
            <w:shd w:val="clear" w:color="auto" w:fill="F2F2F2"/>
            <w:tcMar>
              <w:top w:w="80" w:type="dxa"/>
              <w:left w:w="100" w:type="dxa"/>
              <w:bottom w:w="80" w:type="dxa"/>
              <w:right w:w="100" w:type="dxa"/>
            </w:tcMar>
            <w:vAlign w:val="center"/>
          </w:tcPr>
          <w:p w14:paraId="742462BA" w14:textId="77777777" w:rsidR="00091F0A" w:rsidRDefault="00091F0A"/>
        </w:tc>
      </w:tr>
    </w:tbl>
    <w:p w14:paraId="364A6431" w14:textId="4F3360BC" w:rsidR="00091F0A" w:rsidRDefault="00AA24D5">
      <w:pPr>
        <w:pStyle w:val="Heading1"/>
        <w:pBdr>
          <w:bottom w:val="single" w:sz="8" w:space="4" w:color="1F3864"/>
        </w:pBdr>
        <w:spacing w:before="400" w:after="200"/>
      </w:pPr>
      <w:r>
        <w:rPr>
          <w:rFonts w:ascii="Calibri" w:eastAsia="Calibri" w:hAnsi="Calibri" w:cs="Calibri"/>
          <w:b/>
          <w:bCs/>
          <w:color w:val="1F3864"/>
          <w:sz w:val="28"/>
          <w:szCs w:val="28"/>
        </w:rPr>
        <w:t>10.0 EMERGENCY CHANGES</w:t>
      </w:r>
    </w:p>
    <w:p w14:paraId="5EF28AF5" w14:textId="77777777" w:rsidR="00091F0A" w:rsidRDefault="00000000">
      <w:pPr>
        <w:spacing w:after="140" w:line="276" w:lineRule="auto"/>
        <w:jc w:val="both"/>
      </w:pPr>
      <w:r>
        <w:rPr>
          <w:rFonts w:ascii="Calibri" w:eastAsia="Calibri" w:hAnsi="Calibri" w:cs="Calibri"/>
          <w:sz w:val="22"/>
          <w:szCs w:val="22"/>
        </w:rPr>
        <w:t>Where a change must be made immediately to protect people, the environment or assets, and there is genuinely insufficient time to complete the full MOC process beforehand, the following applies:</w:t>
      </w:r>
    </w:p>
    <w:p w14:paraId="19C9CD12" w14:textId="77777777" w:rsidR="00091F0A" w:rsidRDefault="00000000">
      <w:pPr>
        <w:pStyle w:val="ListParagraph"/>
        <w:numPr>
          <w:ilvl w:val="0"/>
          <w:numId w:val="2"/>
        </w:numPr>
        <w:spacing w:after="90" w:line="276" w:lineRule="auto"/>
      </w:pPr>
      <w:r>
        <w:rPr>
          <w:rFonts w:ascii="Calibri" w:eastAsia="Calibri" w:hAnsi="Calibri" w:cs="Calibri"/>
          <w:sz w:val="22"/>
          <w:szCs w:val="22"/>
        </w:rPr>
        <w:t>The change may be implemented by the most senior person available on site, who shall verbally notify the HSE Manager and Department/Project Manager as soon as practicable and in any event within 24 hours;</w:t>
      </w:r>
    </w:p>
    <w:p w14:paraId="6DCCECE0" w14:textId="77777777" w:rsidR="00091F0A" w:rsidRDefault="00000000">
      <w:pPr>
        <w:pStyle w:val="ListParagraph"/>
        <w:numPr>
          <w:ilvl w:val="0"/>
          <w:numId w:val="2"/>
        </w:numPr>
        <w:spacing w:after="90" w:line="276" w:lineRule="auto"/>
      </w:pPr>
      <w:r>
        <w:rPr>
          <w:rFonts w:ascii="Calibri" w:eastAsia="Calibri" w:hAnsi="Calibri" w:cs="Calibri"/>
          <w:sz w:val="22"/>
          <w:szCs w:val="22"/>
        </w:rPr>
        <w:t>A formal MOCR documenting the change, its justification and any interim controls shall be raised within 48 hours of implementation;</w:t>
      </w:r>
    </w:p>
    <w:p w14:paraId="69A83633" w14:textId="77777777" w:rsidR="00091F0A" w:rsidRDefault="00000000">
      <w:pPr>
        <w:pStyle w:val="ListParagraph"/>
        <w:numPr>
          <w:ilvl w:val="0"/>
          <w:numId w:val="2"/>
        </w:numPr>
        <w:spacing w:after="90" w:line="276" w:lineRule="auto"/>
      </w:pPr>
      <w:r>
        <w:rPr>
          <w:rFonts w:ascii="Calibri" w:eastAsia="Calibri" w:hAnsi="Calibri" w:cs="Calibri"/>
          <w:sz w:val="22"/>
          <w:szCs w:val="22"/>
        </w:rPr>
        <w:t>The Emergency Change shall be reviewed by the MOC Committee at its next meeting to confirm the change is fit to remain in place, be modified, or be reversed; and,</w:t>
      </w:r>
    </w:p>
    <w:p w14:paraId="753420DC" w14:textId="77777777" w:rsidR="00091F0A" w:rsidRDefault="00000000">
      <w:pPr>
        <w:pStyle w:val="ListParagraph"/>
        <w:numPr>
          <w:ilvl w:val="0"/>
          <w:numId w:val="2"/>
        </w:numPr>
        <w:spacing w:after="90" w:line="276" w:lineRule="auto"/>
      </w:pPr>
      <w:r>
        <w:rPr>
          <w:rFonts w:ascii="Calibri" w:eastAsia="Calibri" w:hAnsi="Calibri" w:cs="Calibri"/>
          <w:sz w:val="22"/>
          <w:szCs w:val="22"/>
        </w:rPr>
        <w:t>High-Risk Emergency Changes shall be reported to the Managing Director without delay.</w:t>
      </w:r>
    </w:p>
    <w:p w14:paraId="6BDD8C0F" w14:textId="4D21FDBD" w:rsidR="00091F0A" w:rsidRDefault="00AA24D5">
      <w:pPr>
        <w:pStyle w:val="Heading1"/>
        <w:pBdr>
          <w:bottom w:val="single" w:sz="8" w:space="4" w:color="1F3864"/>
        </w:pBdr>
        <w:spacing w:before="400" w:after="200"/>
      </w:pPr>
      <w:r>
        <w:rPr>
          <w:rFonts w:ascii="Calibri" w:eastAsia="Calibri" w:hAnsi="Calibri" w:cs="Calibri"/>
          <w:b/>
          <w:bCs/>
          <w:color w:val="1F3864"/>
          <w:sz w:val="28"/>
          <w:szCs w:val="28"/>
        </w:rPr>
        <w:t>11.0 TEMPORARY CHANGES</w:t>
      </w:r>
    </w:p>
    <w:p w14:paraId="2D530A45" w14:textId="77777777" w:rsidR="00091F0A" w:rsidRDefault="00000000">
      <w:pPr>
        <w:spacing w:after="140" w:line="276" w:lineRule="auto"/>
        <w:jc w:val="both"/>
      </w:pPr>
      <w:r>
        <w:rPr>
          <w:rFonts w:ascii="Calibri" w:eastAsia="Calibri" w:hAnsi="Calibri" w:cs="Calibri"/>
          <w:sz w:val="22"/>
          <w:szCs w:val="22"/>
        </w:rPr>
        <w:t>Every Temporary Change MOCR shall state a defined expiry date or condition. Before expiry, the Change Initiator or Department Manager shall either confirm the change has reverted to the original condition, or raise a new MOCR to make the change Permanent, following the full process in Section 8. Temporary Changes that are allowed to lapse without action shall be flagged as a non-conformance at the next HSE Audit (Ref. HSEP Sec. 4.7).</w:t>
      </w:r>
    </w:p>
    <w:p w14:paraId="65BDC56B" w14:textId="02ADAEC4" w:rsidR="00091F0A" w:rsidRDefault="00AA24D5">
      <w:pPr>
        <w:pStyle w:val="Heading1"/>
        <w:pBdr>
          <w:bottom w:val="single" w:sz="8" w:space="4" w:color="1F3864"/>
        </w:pBdr>
        <w:spacing w:before="400" w:after="200"/>
      </w:pPr>
      <w:r>
        <w:rPr>
          <w:rFonts w:ascii="Calibri" w:eastAsia="Calibri" w:hAnsi="Calibri" w:cs="Calibri"/>
          <w:b/>
          <w:bCs/>
          <w:color w:val="1F3864"/>
          <w:sz w:val="28"/>
          <w:szCs w:val="28"/>
        </w:rPr>
        <w:t>12.0 TRAINING, COMMUNICATION &amp; DOCUMENT CONTROL</w:t>
      </w:r>
    </w:p>
    <w:p w14:paraId="3C4B773B" w14:textId="77777777" w:rsidR="00091F0A" w:rsidRDefault="00000000">
      <w:pPr>
        <w:spacing w:after="140" w:line="276" w:lineRule="auto"/>
        <w:jc w:val="both"/>
      </w:pPr>
      <w:r>
        <w:rPr>
          <w:rFonts w:ascii="Calibri" w:eastAsia="Calibri" w:hAnsi="Calibri" w:cs="Calibri"/>
          <w:sz w:val="22"/>
          <w:szCs w:val="22"/>
        </w:rPr>
        <w:t>All Employees, Contractors and Subcontractors receive MOC awareness training as part of HSE induction, reinforced through toolbox talks when a change affects their work area. Approved changes are communicated to all affected personnel before implementation. All HSE-MS documents affected by an approved change (HSEP, SS-HSEP, JS/HA, Equipment/Consumables Lists) are updated and re-issued under document control consistent with HSEP Section 4.3.4, with superseded versions withdrawn and archived.</w:t>
      </w:r>
    </w:p>
    <w:p w14:paraId="3629F8B6" w14:textId="5DBB4F36" w:rsidR="00091F0A" w:rsidRDefault="00AA24D5">
      <w:pPr>
        <w:pStyle w:val="Heading1"/>
        <w:pBdr>
          <w:bottom w:val="single" w:sz="8" w:space="4" w:color="1F3864"/>
        </w:pBdr>
        <w:spacing w:before="400" w:after="200"/>
      </w:pPr>
      <w:r>
        <w:rPr>
          <w:rFonts w:ascii="Calibri" w:eastAsia="Calibri" w:hAnsi="Calibri" w:cs="Calibri"/>
          <w:b/>
          <w:bCs/>
          <w:color w:val="1F3864"/>
          <w:sz w:val="28"/>
          <w:szCs w:val="28"/>
        </w:rPr>
        <w:t>13.0 VERIFICATION, AUDIT &amp; MANAGEMENT REVIEW</w:t>
      </w:r>
    </w:p>
    <w:p w14:paraId="033735A3" w14:textId="77777777" w:rsidR="00091F0A" w:rsidRDefault="00000000">
      <w:pPr>
        <w:spacing w:after="140" w:line="276" w:lineRule="auto"/>
        <w:jc w:val="both"/>
      </w:pPr>
      <w:r>
        <w:rPr>
          <w:rFonts w:ascii="Calibri" w:eastAsia="Calibri" w:hAnsi="Calibri" w:cs="Calibri"/>
          <w:sz w:val="22"/>
          <w:szCs w:val="22"/>
        </w:rPr>
        <w:t xml:space="preserve">Compliance with this Procedure and the currency of the MOC Register are verified through the SWDA HSE Audit </w:t>
      </w:r>
      <w:proofErr w:type="spellStart"/>
      <w:r>
        <w:rPr>
          <w:rFonts w:ascii="Calibri" w:eastAsia="Calibri" w:hAnsi="Calibri" w:cs="Calibri"/>
          <w:sz w:val="22"/>
          <w:szCs w:val="22"/>
        </w:rPr>
        <w:t>Programme</w:t>
      </w:r>
      <w:proofErr w:type="spellEnd"/>
      <w:r>
        <w:rPr>
          <w:rFonts w:ascii="Calibri" w:eastAsia="Calibri" w:hAnsi="Calibri" w:cs="Calibri"/>
          <w:sz w:val="22"/>
          <w:szCs w:val="22"/>
        </w:rPr>
        <w:t xml:space="preserve"> (HSEP Sec. 4.7). MOC performance — including open/overdue MOCRs, Emergency Changes raised, and any change implemented without an approved MOCR — is a standing item of the annual Management Review of the HSE-MS (HSEP Sec. 4.8) and is reported to the Managing Director.</w:t>
      </w:r>
    </w:p>
    <w:p w14:paraId="04831274" w14:textId="24DE9EAC" w:rsidR="00091F0A" w:rsidRDefault="00000000">
      <w:pPr>
        <w:pBdr>
          <w:top w:val="single" w:sz="8" w:space="6" w:color="1F3864"/>
        </w:pBdr>
        <w:spacing w:before="200" w:after="200"/>
      </w:pPr>
      <w:r>
        <w:rPr>
          <w:rFonts w:ascii="Calibri" w:eastAsia="Calibri" w:hAnsi="Calibri" w:cs="Calibri"/>
          <w:b/>
          <w:bCs/>
          <w:color w:val="1F3864"/>
          <w:sz w:val="22"/>
          <w:szCs w:val="22"/>
        </w:rPr>
        <w:t>ENDORSED FOR IMPLEMENTATION</w:t>
      </w:r>
    </w:p>
    <w:tbl>
      <w:tblPr>
        <w:tblW w:w="935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75"/>
        <w:gridCol w:w="4675"/>
      </w:tblGrid>
      <w:tr w:rsidR="00091F0A" w14:paraId="5416EC22" w14:textId="77777777" w:rsidTr="00AA24D5">
        <w:trPr>
          <w:trHeight w:val="1328"/>
        </w:trPr>
        <w:tc>
          <w:tcPr>
            <w:tcW w:w="4675" w:type="dxa"/>
            <w:tcMar>
              <w:top w:w="120" w:type="dxa"/>
              <w:left w:w="100" w:type="dxa"/>
              <w:bottom w:w="120" w:type="dxa"/>
              <w:right w:w="100" w:type="dxa"/>
            </w:tcMar>
          </w:tcPr>
          <w:p w14:paraId="3367A9A8" w14:textId="2A7E792B" w:rsidR="00091F0A" w:rsidRDefault="00000000">
            <w:pPr>
              <w:spacing w:after="480"/>
            </w:pPr>
            <w:r>
              <w:rPr>
                <w:rFonts w:ascii="Calibri" w:eastAsia="Calibri" w:hAnsi="Calibri" w:cs="Calibri"/>
                <w:sz w:val="22"/>
                <w:szCs w:val="22"/>
              </w:rPr>
              <w:t xml:space="preserve">Signature: </w:t>
            </w:r>
            <w:r w:rsidR="00AA24D5">
              <w:rPr>
                <w:noProof/>
              </w:rPr>
              <w:drawing>
                <wp:inline distT="0" distB="0" distL="0" distR="0" wp14:anchorId="180F5724" wp14:editId="68FA5386">
                  <wp:extent cx="1371600" cy="342900"/>
                  <wp:effectExtent l="0" t="0" r="0" b="0"/>
                  <wp:docPr id="9232758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71600" cy="342900"/>
                          </a:xfrm>
                          <a:prstGeom prst="rect">
                            <a:avLst/>
                          </a:prstGeom>
                          <a:noFill/>
                          <a:ln>
                            <a:noFill/>
                          </a:ln>
                        </pic:spPr>
                      </pic:pic>
                    </a:graphicData>
                  </a:graphic>
                </wp:inline>
              </w:drawing>
            </w:r>
          </w:p>
          <w:p w14:paraId="2AE470BE" w14:textId="1364625E" w:rsidR="00091F0A" w:rsidRDefault="00000000">
            <w:r>
              <w:rPr>
                <w:rFonts w:ascii="Calibri" w:eastAsia="Calibri" w:hAnsi="Calibri" w:cs="Calibri"/>
                <w:sz w:val="22"/>
                <w:szCs w:val="22"/>
              </w:rPr>
              <w:t xml:space="preserve">Name: </w:t>
            </w:r>
            <w:r w:rsidR="00AA24D5" w:rsidRPr="00AA24D5">
              <w:rPr>
                <w:rFonts w:ascii="Calibri" w:eastAsia="Calibri" w:hAnsi="Calibri" w:cs="Calibri"/>
                <w:sz w:val="22"/>
                <w:szCs w:val="22"/>
                <w:u w:val="single"/>
              </w:rPr>
              <w:t>GLIFFETH WONUIGWE</w:t>
            </w:r>
          </w:p>
        </w:tc>
        <w:tc>
          <w:tcPr>
            <w:tcW w:w="4675" w:type="dxa"/>
            <w:tcMar>
              <w:top w:w="120" w:type="dxa"/>
              <w:left w:w="100" w:type="dxa"/>
              <w:bottom w:w="120" w:type="dxa"/>
              <w:right w:w="100" w:type="dxa"/>
            </w:tcMar>
          </w:tcPr>
          <w:p w14:paraId="18C5F348" w14:textId="6C876BF2" w:rsidR="00091F0A" w:rsidRDefault="00000000">
            <w:pPr>
              <w:spacing w:after="480"/>
            </w:pPr>
            <w:r>
              <w:rPr>
                <w:rFonts w:ascii="Calibri" w:eastAsia="Calibri" w:hAnsi="Calibri" w:cs="Calibri"/>
                <w:sz w:val="22"/>
                <w:szCs w:val="22"/>
              </w:rPr>
              <w:t xml:space="preserve">Title: </w:t>
            </w:r>
            <w:r w:rsidR="00AA24D5">
              <w:rPr>
                <w:rFonts w:ascii="Calibri" w:eastAsia="Calibri" w:hAnsi="Calibri" w:cs="Calibri"/>
                <w:sz w:val="22"/>
                <w:szCs w:val="22"/>
              </w:rPr>
              <w:t>GMD</w:t>
            </w:r>
            <w:r>
              <w:rPr>
                <w:rFonts w:ascii="Calibri" w:eastAsia="Calibri" w:hAnsi="Calibri" w:cs="Calibri"/>
                <w:sz w:val="22"/>
                <w:szCs w:val="22"/>
              </w:rPr>
              <w:t xml:space="preserve">, </w:t>
            </w:r>
            <w:r w:rsidR="00AA24D5">
              <w:rPr>
                <w:rFonts w:ascii="Calibri" w:eastAsia="Calibri" w:hAnsi="Calibri" w:cs="Calibri"/>
                <w:sz w:val="22"/>
                <w:szCs w:val="22"/>
              </w:rPr>
              <w:t>GASGROUP INTERNATIONAL LTD</w:t>
            </w:r>
          </w:p>
          <w:p w14:paraId="7D12C4DA" w14:textId="5D30040A" w:rsidR="00091F0A" w:rsidRDefault="00000000">
            <w:r>
              <w:rPr>
                <w:rFonts w:ascii="Calibri" w:eastAsia="Calibri" w:hAnsi="Calibri" w:cs="Calibri"/>
                <w:sz w:val="22"/>
                <w:szCs w:val="22"/>
              </w:rPr>
              <w:t xml:space="preserve">Date: </w:t>
            </w:r>
            <w:r w:rsidR="00BB7F8E">
              <w:rPr>
                <w:rFonts w:ascii="Calibri" w:eastAsia="Calibri" w:hAnsi="Calibri" w:cs="Calibri"/>
                <w:sz w:val="22"/>
                <w:szCs w:val="22"/>
              </w:rPr>
              <w:t>18</w:t>
            </w:r>
            <w:r w:rsidR="00BB7F8E" w:rsidRPr="00BB7F8E">
              <w:rPr>
                <w:rFonts w:ascii="Calibri" w:eastAsia="Calibri" w:hAnsi="Calibri" w:cs="Calibri"/>
                <w:sz w:val="22"/>
                <w:szCs w:val="22"/>
                <w:vertAlign w:val="superscript"/>
              </w:rPr>
              <w:t>th</w:t>
            </w:r>
            <w:r w:rsidR="00BB7F8E">
              <w:rPr>
                <w:rFonts w:ascii="Calibri" w:eastAsia="Calibri" w:hAnsi="Calibri" w:cs="Calibri"/>
                <w:sz w:val="22"/>
                <w:szCs w:val="22"/>
              </w:rPr>
              <w:t xml:space="preserve"> August</w:t>
            </w:r>
            <w:r w:rsidR="00AA24D5">
              <w:rPr>
                <w:rFonts w:ascii="Calibri" w:eastAsia="Calibri" w:hAnsi="Calibri" w:cs="Calibri"/>
                <w:sz w:val="22"/>
                <w:szCs w:val="22"/>
              </w:rPr>
              <w:t xml:space="preserve"> 202</w:t>
            </w:r>
            <w:r w:rsidR="00BB7F8E">
              <w:rPr>
                <w:rFonts w:ascii="Calibri" w:eastAsia="Calibri" w:hAnsi="Calibri" w:cs="Calibri"/>
                <w:sz w:val="22"/>
                <w:szCs w:val="22"/>
              </w:rPr>
              <w:t>5</w:t>
            </w:r>
          </w:p>
        </w:tc>
      </w:tr>
    </w:tbl>
    <w:p w14:paraId="0E6DC7D2" w14:textId="77777777" w:rsidR="00D509D2" w:rsidRDefault="00D509D2" w:rsidP="00AA24D5"/>
    <w:sectPr w:rsidR="00D509D2">
      <w:headerReference w:type="default" r:id="rId8"/>
      <w:footerReference w:type="default" r:id="rId9"/>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63808" w14:textId="77777777" w:rsidR="003A76F6" w:rsidRDefault="003A76F6">
      <w:r>
        <w:separator/>
      </w:r>
    </w:p>
  </w:endnote>
  <w:endnote w:type="continuationSeparator" w:id="0">
    <w:p w14:paraId="626B8AF3" w14:textId="77777777" w:rsidR="003A76F6" w:rsidRDefault="003A7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D9BC5" w14:textId="77777777" w:rsidR="00091F0A" w:rsidRDefault="00000000">
    <w:pPr>
      <w:jc w:val="center"/>
    </w:pPr>
    <w:r>
      <w:rPr>
        <w:rFonts w:ascii="Calibri" w:eastAsia="Calibri" w:hAnsi="Calibri" w:cs="Calibri"/>
        <w:color w:val="666666"/>
        <w:sz w:val="16"/>
        <w:szCs w:val="16"/>
      </w:rPr>
      <w:t>South West Design Africa Ltd. (</w:t>
    </w:r>
    <w:proofErr w:type="gramStart"/>
    <w:r>
      <w:rPr>
        <w:rFonts w:ascii="Calibri" w:eastAsia="Calibri" w:hAnsi="Calibri" w:cs="Calibri"/>
        <w:color w:val="666666"/>
        <w:sz w:val="16"/>
        <w:szCs w:val="16"/>
      </w:rPr>
      <w:t>SWDA)  |</w:t>
    </w:r>
    <w:proofErr w:type="gramEnd"/>
    <w:r>
      <w:rPr>
        <w:rFonts w:ascii="Calibri" w:eastAsia="Calibri" w:hAnsi="Calibri" w:cs="Calibri"/>
        <w:color w:val="666666"/>
        <w:sz w:val="16"/>
        <w:szCs w:val="16"/>
      </w:rPr>
      <w:t xml:space="preserve">  Page </w:t>
    </w:r>
    <w:r>
      <w:rPr>
        <w:rFonts w:ascii="Calibri" w:eastAsia="Calibri" w:hAnsi="Calibri" w:cs="Calibri"/>
        <w:color w:val="666666"/>
        <w:sz w:val="16"/>
        <w:szCs w:val="16"/>
      </w:rPr>
      <w:fldChar w:fldCharType="begin"/>
    </w:r>
    <w:r>
      <w:rPr>
        <w:rFonts w:ascii="Calibri" w:eastAsia="Calibri" w:hAnsi="Calibri" w:cs="Calibri"/>
        <w:color w:val="666666"/>
        <w:sz w:val="16"/>
        <w:szCs w:val="16"/>
      </w:rPr>
      <w:instrText>PAGE</w:instrText>
    </w:r>
    <w:r>
      <w:rPr>
        <w:rFonts w:ascii="Calibri" w:eastAsia="Calibri" w:hAnsi="Calibri" w:cs="Calibri"/>
        <w:color w:val="666666"/>
        <w:sz w:val="16"/>
        <w:szCs w:val="16"/>
      </w:rPr>
      <w:fldChar w:fldCharType="separate"/>
    </w:r>
    <w:r w:rsidR="00DC2AD7">
      <w:rPr>
        <w:rFonts w:ascii="Calibri" w:eastAsia="Calibri" w:hAnsi="Calibri" w:cs="Calibri"/>
        <w:noProof/>
        <w:color w:val="666666"/>
        <w:sz w:val="16"/>
        <w:szCs w:val="16"/>
      </w:rPr>
      <w:t>1</w:t>
    </w:r>
    <w:r>
      <w:rPr>
        <w:rFonts w:ascii="Calibri" w:eastAsia="Calibri" w:hAnsi="Calibri" w:cs="Calibri"/>
        <w:color w:val="666666"/>
        <w:sz w:val="16"/>
        <w:szCs w:val="16"/>
      </w:rPr>
      <w:fldChar w:fldCharType="end"/>
    </w:r>
    <w:r>
      <w:rPr>
        <w:rFonts w:ascii="Calibri" w:eastAsia="Calibri" w:hAnsi="Calibri" w:cs="Calibri"/>
        <w:color w:val="666666"/>
        <w:sz w:val="16"/>
        <w:szCs w:val="16"/>
      </w:rPr>
      <w:t xml:space="preserve"> of </w:t>
    </w:r>
    <w:r>
      <w:rPr>
        <w:rFonts w:ascii="Calibri" w:eastAsia="Calibri" w:hAnsi="Calibri" w:cs="Calibri"/>
        <w:color w:val="666666"/>
        <w:sz w:val="16"/>
        <w:szCs w:val="16"/>
      </w:rPr>
      <w:fldChar w:fldCharType="begin"/>
    </w:r>
    <w:r>
      <w:rPr>
        <w:rFonts w:ascii="Calibri" w:eastAsia="Calibri" w:hAnsi="Calibri" w:cs="Calibri"/>
        <w:color w:val="666666"/>
        <w:sz w:val="16"/>
        <w:szCs w:val="16"/>
      </w:rPr>
      <w:instrText>NUMPAGES</w:instrText>
    </w:r>
    <w:r>
      <w:rPr>
        <w:rFonts w:ascii="Calibri" w:eastAsia="Calibri" w:hAnsi="Calibri" w:cs="Calibri"/>
        <w:color w:val="666666"/>
        <w:sz w:val="16"/>
        <w:szCs w:val="16"/>
      </w:rPr>
      <w:fldChar w:fldCharType="separate"/>
    </w:r>
    <w:r w:rsidR="00DC2AD7">
      <w:rPr>
        <w:rFonts w:ascii="Calibri" w:eastAsia="Calibri" w:hAnsi="Calibri" w:cs="Calibri"/>
        <w:noProof/>
        <w:color w:val="666666"/>
        <w:sz w:val="16"/>
        <w:szCs w:val="16"/>
      </w:rPr>
      <w:t>2</w:t>
    </w:r>
    <w:r>
      <w:rPr>
        <w:rFonts w:ascii="Calibri" w:eastAsia="Calibri" w:hAnsi="Calibri" w:cs="Calibri"/>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A4F7B" w14:textId="77777777" w:rsidR="003A76F6" w:rsidRDefault="003A76F6">
      <w:r>
        <w:separator/>
      </w:r>
    </w:p>
  </w:footnote>
  <w:footnote w:type="continuationSeparator" w:id="0">
    <w:p w14:paraId="5118842B" w14:textId="77777777" w:rsidR="003A76F6" w:rsidRDefault="003A7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92809" w14:textId="77777777" w:rsidR="00091F0A" w:rsidRDefault="00000000">
    <w:pPr>
      <w:pBdr>
        <w:bottom w:val="single" w:sz="6" w:space="4" w:color="1F3864"/>
      </w:pBdr>
      <w:jc w:val="center"/>
    </w:pPr>
    <w:r>
      <w:rPr>
        <w:rFonts w:ascii="Calibri" w:eastAsia="Calibri" w:hAnsi="Calibri" w:cs="Calibri"/>
        <w:i/>
        <w:iCs/>
        <w:color w:val="666666"/>
        <w:sz w:val="16"/>
        <w:szCs w:val="16"/>
      </w:rPr>
      <w:t>SWDA – Management of Change (MOC) Procedure (supports HSEP Sec. 4.5)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56F86"/>
    <w:multiLevelType w:val="hybridMultilevel"/>
    <w:tmpl w:val="571C54B4"/>
    <w:lvl w:ilvl="0" w:tplc="0C0A50C6">
      <w:start w:val="1"/>
      <w:numFmt w:val="bullet"/>
      <w:lvlText w:val="●"/>
      <w:lvlJc w:val="left"/>
      <w:pPr>
        <w:ind w:left="720" w:hanging="360"/>
      </w:pPr>
    </w:lvl>
    <w:lvl w:ilvl="1" w:tplc="230A8F92">
      <w:start w:val="1"/>
      <w:numFmt w:val="bullet"/>
      <w:lvlText w:val="○"/>
      <w:lvlJc w:val="left"/>
      <w:pPr>
        <w:ind w:left="1440" w:hanging="360"/>
      </w:pPr>
    </w:lvl>
    <w:lvl w:ilvl="2" w:tplc="6CC2CC04">
      <w:start w:val="1"/>
      <w:numFmt w:val="bullet"/>
      <w:lvlText w:val="■"/>
      <w:lvlJc w:val="left"/>
      <w:pPr>
        <w:ind w:left="2160" w:hanging="360"/>
      </w:pPr>
    </w:lvl>
    <w:lvl w:ilvl="3" w:tplc="4328BCCE">
      <w:start w:val="1"/>
      <w:numFmt w:val="bullet"/>
      <w:lvlText w:val="●"/>
      <w:lvlJc w:val="left"/>
      <w:pPr>
        <w:ind w:left="2880" w:hanging="360"/>
      </w:pPr>
    </w:lvl>
    <w:lvl w:ilvl="4" w:tplc="B1303296">
      <w:start w:val="1"/>
      <w:numFmt w:val="bullet"/>
      <w:lvlText w:val="○"/>
      <w:lvlJc w:val="left"/>
      <w:pPr>
        <w:ind w:left="3600" w:hanging="360"/>
      </w:pPr>
    </w:lvl>
    <w:lvl w:ilvl="5" w:tplc="EC1EBE7E">
      <w:start w:val="1"/>
      <w:numFmt w:val="bullet"/>
      <w:lvlText w:val="■"/>
      <w:lvlJc w:val="left"/>
      <w:pPr>
        <w:ind w:left="4320" w:hanging="360"/>
      </w:pPr>
    </w:lvl>
    <w:lvl w:ilvl="6" w:tplc="7144DA92">
      <w:start w:val="1"/>
      <w:numFmt w:val="bullet"/>
      <w:lvlText w:val="●"/>
      <w:lvlJc w:val="left"/>
      <w:pPr>
        <w:ind w:left="5040" w:hanging="360"/>
      </w:pPr>
    </w:lvl>
    <w:lvl w:ilvl="7" w:tplc="AB1AB0D2">
      <w:start w:val="1"/>
      <w:numFmt w:val="bullet"/>
      <w:lvlText w:val="●"/>
      <w:lvlJc w:val="left"/>
      <w:pPr>
        <w:ind w:left="5760" w:hanging="360"/>
      </w:pPr>
    </w:lvl>
    <w:lvl w:ilvl="8" w:tplc="D3E0C04A">
      <w:start w:val="1"/>
      <w:numFmt w:val="bullet"/>
      <w:lvlText w:val="●"/>
      <w:lvlJc w:val="left"/>
      <w:pPr>
        <w:ind w:left="6480" w:hanging="360"/>
      </w:pPr>
    </w:lvl>
  </w:abstractNum>
  <w:abstractNum w:abstractNumId="1" w15:restartNumberingAfterBreak="0">
    <w:nsid w:val="3D145B2E"/>
    <w:multiLevelType w:val="hybridMultilevel"/>
    <w:tmpl w:val="7E04E8EC"/>
    <w:lvl w:ilvl="0" w:tplc="42F642F0">
      <w:start w:val="1"/>
      <w:numFmt w:val="bullet"/>
      <w:lvlText w:val="•"/>
      <w:lvlJc w:val="left"/>
      <w:pPr>
        <w:ind w:left="460" w:hanging="260"/>
      </w:pPr>
    </w:lvl>
    <w:lvl w:ilvl="1" w:tplc="45C6503E">
      <w:numFmt w:val="decimal"/>
      <w:lvlText w:val=""/>
      <w:lvlJc w:val="left"/>
    </w:lvl>
    <w:lvl w:ilvl="2" w:tplc="F4E8FECA">
      <w:numFmt w:val="decimal"/>
      <w:lvlText w:val=""/>
      <w:lvlJc w:val="left"/>
    </w:lvl>
    <w:lvl w:ilvl="3" w:tplc="568E06AE">
      <w:numFmt w:val="decimal"/>
      <w:lvlText w:val=""/>
      <w:lvlJc w:val="left"/>
    </w:lvl>
    <w:lvl w:ilvl="4" w:tplc="87623774">
      <w:numFmt w:val="decimal"/>
      <w:lvlText w:val=""/>
      <w:lvlJc w:val="left"/>
    </w:lvl>
    <w:lvl w:ilvl="5" w:tplc="CE9CB2DE">
      <w:numFmt w:val="decimal"/>
      <w:lvlText w:val=""/>
      <w:lvlJc w:val="left"/>
    </w:lvl>
    <w:lvl w:ilvl="6" w:tplc="7708FAD6">
      <w:numFmt w:val="decimal"/>
      <w:lvlText w:val=""/>
      <w:lvlJc w:val="left"/>
    </w:lvl>
    <w:lvl w:ilvl="7" w:tplc="6E60C874">
      <w:numFmt w:val="decimal"/>
      <w:lvlText w:val=""/>
      <w:lvlJc w:val="left"/>
    </w:lvl>
    <w:lvl w:ilvl="8" w:tplc="AD9849CE">
      <w:numFmt w:val="decimal"/>
      <w:lvlText w:val=""/>
      <w:lvlJc w:val="left"/>
    </w:lvl>
  </w:abstractNum>
  <w:num w:numId="1" w16cid:durableId="1577084115">
    <w:abstractNumId w:val="0"/>
    <w:lvlOverride w:ilvl="0">
      <w:startOverride w:val="1"/>
    </w:lvlOverride>
  </w:num>
  <w:num w:numId="2" w16cid:durableId="89008971">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F0A"/>
    <w:rsid w:val="00091F0A"/>
    <w:rsid w:val="00261274"/>
    <w:rsid w:val="00327A01"/>
    <w:rsid w:val="003A76F6"/>
    <w:rsid w:val="0055632F"/>
    <w:rsid w:val="00AA24D5"/>
    <w:rsid w:val="00BB7F8E"/>
    <w:rsid w:val="00BE5DA7"/>
    <w:rsid w:val="00CA4AD3"/>
    <w:rsid w:val="00D509D2"/>
    <w:rsid w:val="00DC2AD7"/>
    <w:rsid w:val="00DF0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6B562"/>
  <w15:docId w15:val="{5E490A37-2400-43C4-BC13-82FBBF6D7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2123</Words>
  <Characters>12102</Characters>
  <Application>Microsoft Office Word</Application>
  <DocSecurity>0</DocSecurity>
  <Lines>100</Lines>
  <Paragraphs>28</Paragraphs>
  <ScaleCrop>false</ScaleCrop>
  <Company/>
  <LinksUpToDate>false</LinksUpToDate>
  <CharactersWithSpaces>14197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Maryann Ihejirika</cp:lastModifiedBy>
  <cp:revision>7</cp:revision>
  <dcterms:created xsi:type="dcterms:W3CDTF">2026-08-04T11:24:00Z</dcterms:created>
  <dcterms:modified xsi:type="dcterms:W3CDTF">2026-08-05T08:22:00Z</dcterms:modified>
</cp:coreProperties>
</file>