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77AD5" w14:textId="77777777" w:rsidR="002D0229" w:rsidRDefault="00000000">
      <w:pPr>
        <w:spacing w:after="60"/>
        <w:jc w:val="center"/>
      </w:pPr>
      <w:r>
        <w:rPr>
          <w:rFonts w:ascii="Calibri" w:eastAsia="Calibri" w:hAnsi="Calibri" w:cs="Calibri"/>
          <w:b/>
          <w:bCs/>
          <w:color w:val="1F3864"/>
          <w:sz w:val="30"/>
          <w:szCs w:val="30"/>
        </w:rPr>
        <w:t>SOUTH WEST DESIGN AFRICA LTD. (SWDA)</w:t>
      </w:r>
    </w:p>
    <w:p w14:paraId="7504A0BD" w14:textId="77777777" w:rsidR="002D0229" w:rsidRDefault="00000000">
      <w:pPr>
        <w:pBdr>
          <w:bottom w:val="single" w:sz="16" w:space="6" w:color="B08A2E"/>
        </w:pBdr>
        <w:spacing w:after="300"/>
        <w:jc w:val="center"/>
      </w:pPr>
      <w:r>
        <w:rPr>
          <w:rFonts w:ascii="Calibri" w:eastAsia="Calibri" w:hAnsi="Calibri" w:cs="Calibri"/>
          <w:b/>
          <w:bCs/>
          <w:color w:val="1F3864"/>
          <w:sz w:val="26"/>
          <w:szCs w:val="26"/>
        </w:rPr>
        <w:t>PROCESS FOR REVIEW OF APPLICABLE REGULATIONS &amp; STANDARDS AT LOCAL, NATIONAL, REGIONAL &amp; INTERNATIONAL LEVELS</w:t>
      </w:r>
    </w:p>
    <w:p w14:paraId="4D9767B3" w14:textId="579C85B1" w:rsidR="002D0229" w:rsidRDefault="00000000">
      <w:pPr>
        <w:spacing w:after="200"/>
        <w:jc w:val="center"/>
      </w:pPr>
      <w:r>
        <w:rPr>
          <w:rFonts w:ascii="Calibri" w:eastAsia="Calibri" w:hAnsi="Calibri" w:cs="Calibri"/>
          <w:i/>
          <w:iCs/>
          <w:color w:val="555555"/>
        </w:rPr>
        <w:t>Document Ref.: SWDA-HSE-PROC-04.3.6      |      Rev. 00      |      1</w:t>
      </w:r>
      <w:r w:rsidR="004E7F04">
        <w:rPr>
          <w:rFonts w:ascii="Calibri" w:eastAsia="Calibri" w:hAnsi="Calibri" w:cs="Calibri"/>
          <w:i/>
          <w:iCs/>
          <w:color w:val="555555"/>
        </w:rPr>
        <w:t xml:space="preserve">8 </w:t>
      </w:r>
      <w:r>
        <w:rPr>
          <w:rFonts w:ascii="Calibri" w:eastAsia="Calibri" w:hAnsi="Calibri" w:cs="Calibri"/>
          <w:i/>
          <w:iCs/>
          <w:color w:val="555555"/>
        </w:rPr>
        <w:t xml:space="preserve"> </w:t>
      </w:r>
      <w:r w:rsidR="004E7F04">
        <w:rPr>
          <w:rFonts w:ascii="Calibri" w:eastAsia="Calibri" w:hAnsi="Calibri" w:cs="Calibri"/>
          <w:i/>
          <w:iCs/>
          <w:color w:val="555555"/>
        </w:rPr>
        <w:t xml:space="preserve">August </w:t>
      </w:r>
      <w:r>
        <w:rPr>
          <w:rFonts w:ascii="Calibri" w:eastAsia="Calibri" w:hAnsi="Calibri" w:cs="Calibri"/>
          <w:i/>
          <w:iCs/>
          <w:color w:val="555555"/>
        </w:rPr>
        <w:t xml:space="preserve"> 202</w:t>
      </w:r>
      <w:r w:rsidR="004E7F04">
        <w:rPr>
          <w:rFonts w:ascii="Calibri" w:eastAsia="Calibri" w:hAnsi="Calibri" w:cs="Calibri"/>
          <w:i/>
          <w:iCs/>
          <w:color w:val="555555"/>
        </w:rPr>
        <w:t>5</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1300"/>
        <w:gridCol w:w="2950"/>
        <w:gridCol w:w="1400"/>
        <w:gridCol w:w="1400"/>
        <w:gridCol w:w="1400"/>
      </w:tblGrid>
      <w:tr w:rsidR="002D0229" w14:paraId="0D58A74E" w14:textId="77777777">
        <w:trPr>
          <w:tblHeader/>
        </w:trPr>
        <w:tc>
          <w:tcPr>
            <w:tcW w:w="900" w:type="dxa"/>
            <w:shd w:val="clear" w:color="auto" w:fill="1F3864"/>
            <w:tcMar>
              <w:top w:w="80" w:type="dxa"/>
              <w:left w:w="100" w:type="dxa"/>
              <w:bottom w:w="80" w:type="dxa"/>
              <w:right w:w="100" w:type="dxa"/>
            </w:tcMar>
            <w:vAlign w:val="center"/>
          </w:tcPr>
          <w:p w14:paraId="44720D60" w14:textId="77777777" w:rsidR="002D0229" w:rsidRDefault="00000000">
            <w:pPr>
              <w:jc w:val="center"/>
            </w:pPr>
            <w:r>
              <w:rPr>
                <w:rFonts w:ascii="Calibri" w:eastAsia="Calibri" w:hAnsi="Calibri" w:cs="Calibri"/>
                <w:b/>
                <w:bCs/>
                <w:color w:val="FFFFFF"/>
              </w:rPr>
              <w:t>REV</w:t>
            </w:r>
          </w:p>
        </w:tc>
        <w:tc>
          <w:tcPr>
            <w:tcW w:w="1300" w:type="dxa"/>
            <w:shd w:val="clear" w:color="auto" w:fill="1F3864"/>
            <w:tcMar>
              <w:top w:w="80" w:type="dxa"/>
              <w:left w:w="100" w:type="dxa"/>
              <w:bottom w:w="80" w:type="dxa"/>
              <w:right w:w="100" w:type="dxa"/>
            </w:tcMar>
            <w:vAlign w:val="center"/>
          </w:tcPr>
          <w:p w14:paraId="6678036D" w14:textId="77777777" w:rsidR="002D0229" w:rsidRDefault="00000000">
            <w:pPr>
              <w:jc w:val="center"/>
            </w:pPr>
            <w:r>
              <w:rPr>
                <w:rFonts w:ascii="Calibri" w:eastAsia="Calibri" w:hAnsi="Calibri" w:cs="Calibri"/>
                <w:b/>
                <w:bCs/>
                <w:color w:val="FFFFFF"/>
              </w:rPr>
              <w:t>DATE</w:t>
            </w:r>
          </w:p>
        </w:tc>
        <w:tc>
          <w:tcPr>
            <w:tcW w:w="2950" w:type="dxa"/>
            <w:shd w:val="clear" w:color="auto" w:fill="1F3864"/>
            <w:tcMar>
              <w:top w:w="80" w:type="dxa"/>
              <w:left w:w="100" w:type="dxa"/>
              <w:bottom w:w="80" w:type="dxa"/>
              <w:right w:w="100" w:type="dxa"/>
            </w:tcMar>
            <w:vAlign w:val="center"/>
          </w:tcPr>
          <w:p w14:paraId="2528477D" w14:textId="77777777" w:rsidR="002D0229" w:rsidRDefault="00000000">
            <w:pPr>
              <w:jc w:val="center"/>
            </w:pPr>
            <w:r>
              <w:rPr>
                <w:rFonts w:ascii="Calibri" w:eastAsia="Calibri" w:hAnsi="Calibri" w:cs="Calibri"/>
                <w:b/>
                <w:bCs/>
                <w:color w:val="FFFFFF"/>
              </w:rPr>
              <w:t>DESCRIPTION</w:t>
            </w:r>
          </w:p>
        </w:tc>
        <w:tc>
          <w:tcPr>
            <w:tcW w:w="1400" w:type="dxa"/>
            <w:shd w:val="clear" w:color="auto" w:fill="1F3864"/>
            <w:tcMar>
              <w:top w:w="80" w:type="dxa"/>
              <w:left w:w="100" w:type="dxa"/>
              <w:bottom w:w="80" w:type="dxa"/>
              <w:right w:w="100" w:type="dxa"/>
            </w:tcMar>
            <w:vAlign w:val="center"/>
          </w:tcPr>
          <w:p w14:paraId="154B468D" w14:textId="77777777" w:rsidR="002D0229" w:rsidRDefault="00000000">
            <w:pPr>
              <w:jc w:val="center"/>
            </w:pPr>
            <w:r>
              <w:rPr>
                <w:rFonts w:ascii="Calibri" w:eastAsia="Calibri" w:hAnsi="Calibri" w:cs="Calibri"/>
                <w:b/>
                <w:bCs/>
                <w:color w:val="FFFFFF"/>
              </w:rPr>
              <w:t>PREPARED</w:t>
            </w:r>
          </w:p>
        </w:tc>
        <w:tc>
          <w:tcPr>
            <w:tcW w:w="1400" w:type="dxa"/>
            <w:shd w:val="clear" w:color="auto" w:fill="1F3864"/>
            <w:tcMar>
              <w:top w:w="80" w:type="dxa"/>
              <w:left w:w="100" w:type="dxa"/>
              <w:bottom w:w="80" w:type="dxa"/>
              <w:right w:w="100" w:type="dxa"/>
            </w:tcMar>
            <w:vAlign w:val="center"/>
          </w:tcPr>
          <w:p w14:paraId="03DE5549" w14:textId="77777777" w:rsidR="002D0229" w:rsidRDefault="00000000">
            <w:pPr>
              <w:jc w:val="center"/>
            </w:pPr>
            <w:r>
              <w:rPr>
                <w:rFonts w:ascii="Calibri" w:eastAsia="Calibri" w:hAnsi="Calibri" w:cs="Calibri"/>
                <w:b/>
                <w:bCs/>
                <w:color w:val="FFFFFF"/>
              </w:rPr>
              <w:t>REVIEWED</w:t>
            </w:r>
          </w:p>
        </w:tc>
        <w:tc>
          <w:tcPr>
            <w:tcW w:w="1400" w:type="dxa"/>
            <w:shd w:val="clear" w:color="auto" w:fill="1F3864"/>
            <w:tcMar>
              <w:top w:w="80" w:type="dxa"/>
              <w:left w:w="100" w:type="dxa"/>
              <w:bottom w:w="80" w:type="dxa"/>
              <w:right w:w="100" w:type="dxa"/>
            </w:tcMar>
            <w:vAlign w:val="center"/>
          </w:tcPr>
          <w:p w14:paraId="037A7EA1" w14:textId="77777777" w:rsidR="002D0229" w:rsidRDefault="00000000">
            <w:pPr>
              <w:jc w:val="center"/>
            </w:pPr>
            <w:r>
              <w:rPr>
                <w:rFonts w:ascii="Calibri" w:eastAsia="Calibri" w:hAnsi="Calibri" w:cs="Calibri"/>
                <w:b/>
                <w:bCs/>
                <w:color w:val="FFFFFF"/>
              </w:rPr>
              <w:t>APPRVD</w:t>
            </w:r>
          </w:p>
        </w:tc>
      </w:tr>
      <w:tr w:rsidR="002D0229" w14:paraId="051E440F" w14:textId="77777777">
        <w:tc>
          <w:tcPr>
            <w:tcW w:w="900" w:type="dxa"/>
            <w:tcMar>
              <w:top w:w="80" w:type="dxa"/>
              <w:left w:w="100" w:type="dxa"/>
              <w:bottom w:w="80" w:type="dxa"/>
              <w:right w:w="100" w:type="dxa"/>
            </w:tcMar>
            <w:vAlign w:val="center"/>
          </w:tcPr>
          <w:p w14:paraId="1D171362" w14:textId="77777777" w:rsidR="002D0229" w:rsidRDefault="00000000">
            <w:pPr>
              <w:jc w:val="center"/>
            </w:pPr>
            <w:r>
              <w:rPr>
                <w:rFonts w:ascii="Calibri" w:eastAsia="Calibri" w:hAnsi="Calibri" w:cs="Calibri"/>
                <w:color w:val="000000"/>
              </w:rPr>
              <w:t>00</w:t>
            </w:r>
          </w:p>
        </w:tc>
        <w:tc>
          <w:tcPr>
            <w:tcW w:w="1300" w:type="dxa"/>
            <w:tcMar>
              <w:top w:w="80" w:type="dxa"/>
              <w:left w:w="100" w:type="dxa"/>
              <w:bottom w:w="80" w:type="dxa"/>
              <w:right w:w="100" w:type="dxa"/>
            </w:tcMar>
            <w:vAlign w:val="center"/>
          </w:tcPr>
          <w:p w14:paraId="194F6B59" w14:textId="28C4A7A7" w:rsidR="002D0229" w:rsidRDefault="00000000">
            <w:pPr>
              <w:jc w:val="center"/>
            </w:pPr>
            <w:r>
              <w:rPr>
                <w:rFonts w:ascii="Calibri" w:eastAsia="Calibri" w:hAnsi="Calibri" w:cs="Calibri"/>
                <w:color w:val="000000"/>
              </w:rPr>
              <w:t>1</w:t>
            </w:r>
            <w:r w:rsidR="004E7F04">
              <w:rPr>
                <w:rFonts w:ascii="Calibri" w:eastAsia="Calibri" w:hAnsi="Calibri" w:cs="Calibri"/>
                <w:color w:val="000000"/>
              </w:rPr>
              <w:t>8</w:t>
            </w:r>
            <w:r>
              <w:rPr>
                <w:rFonts w:ascii="Calibri" w:eastAsia="Calibri" w:hAnsi="Calibri" w:cs="Calibri"/>
                <w:color w:val="000000"/>
              </w:rPr>
              <w:t>/0</w:t>
            </w:r>
            <w:r w:rsidR="004E7F04">
              <w:rPr>
                <w:rFonts w:ascii="Calibri" w:eastAsia="Calibri" w:hAnsi="Calibri" w:cs="Calibri"/>
                <w:color w:val="000000"/>
              </w:rPr>
              <w:t>8</w:t>
            </w:r>
            <w:r>
              <w:rPr>
                <w:rFonts w:ascii="Calibri" w:eastAsia="Calibri" w:hAnsi="Calibri" w:cs="Calibri"/>
                <w:color w:val="000000"/>
              </w:rPr>
              <w:t>/2</w:t>
            </w:r>
            <w:r w:rsidR="004E7F04">
              <w:rPr>
                <w:rFonts w:ascii="Calibri" w:eastAsia="Calibri" w:hAnsi="Calibri" w:cs="Calibri"/>
                <w:color w:val="000000"/>
              </w:rPr>
              <w:t>025</w:t>
            </w:r>
          </w:p>
        </w:tc>
        <w:tc>
          <w:tcPr>
            <w:tcW w:w="2950" w:type="dxa"/>
            <w:tcMar>
              <w:top w:w="80" w:type="dxa"/>
              <w:left w:w="100" w:type="dxa"/>
              <w:bottom w:w="80" w:type="dxa"/>
              <w:right w:w="100" w:type="dxa"/>
            </w:tcMar>
            <w:vAlign w:val="center"/>
          </w:tcPr>
          <w:p w14:paraId="16D5F985" w14:textId="77777777" w:rsidR="002D0229" w:rsidRDefault="00000000">
            <w:r>
              <w:rPr>
                <w:rFonts w:ascii="Calibri" w:eastAsia="Calibri" w:hAnsi="Calibri" w:cs="Calibri"/>
                <w:color w:val="000000"/>
              </w:rPr>
              <w:t>Issued as new SWDA Regulatory &amp; Standards Review Process (supports HSEP Section 4.3)</w:t>
            </w:r>
          </w:p>
        </w:tc>
        <w:tc>
          <w:tcPr>
            <w:tcW w:w="1400" w:type="dxa"/>
            <w:tcMar>
              <w:top w:w="80" w:type="dxa"/>
              <w:left w:w="100" w:type="dxa"/>
              <w:bottom w:w="80" w:type="dxa"/>
              <w:right w:w="100" w:type="dxa"/>
            </w:tcMar>
            <w:vAlign w:val="center"/>
          </w:tcPr>
          <w:p w14:paraId="29D22208" w14:textId="58F72E0A" w:rsidR="002D0229" w:rsidRDefault="005818B9">
            <w:pPr>
              <w:jc w:val="center"/>
            </w:pPr>
            <w:r>
              <w:rPr>
                <w:rFonts w:ascii="Calibri" w:eastAsia="Calibri" w:hAnsi="Calibri" w:cs="Calibri"/>
                <w:color w:val="000000"/>
              </w:rPr>
              <w:t>MI</w:t>
            </w:r>
          </w:p>
        </w:tc>
        <w:tc>
          <w:tcPr>
            <w:tcW w:w="1400" w:type="dxa"/>
            <w:tcMar>
              <w:top w:w="80" w:type="dxa"/>
              <w:left w:w="100" w:type="dxa"/>
              <w:bottom w:w="80" w:type="dxa"/>
              <w:right w:w="100" w:type="dxa"/>
            </w:tcMar>
            <w:vAlign w:val="center"/>
          </w:tcPr>
          <w:p w14:paraId="7D706804" w14:textId="0890C95A" w:rsidR="002D0229" w:rsidRPr="005818B9" w:rsidRDefault="005818B9">
            <w:pPr>
              <w:jc w:val="center"/>
              <w:rPr>
                <w:rFonts w:asciiTheme="minorHAnsi" w:hAnsiTheme="minorHAnsi" w:cstheme="minorHAnsi"/>
              </w:rPr>
            </w:pPr>
            <w:r w:rsidRPr="005818B9">
              <w:rPr>
                <w:rFonts w:asciiTheme="minorHAnsi" w:hAnsiTheme="minorHAnsi" w:cstheme="minorHAnsi"/>
              </w:rPr>
              <w:t>NEJ</w:t>
            </w:r>
          </w:p>
        </w:tc>
        <w:tc>
          <w:tcPr>
            <w:tcW w:w="1400" w:type="dxa"/>
            <w:tcMar>
              <w:top w:w="80" w:type="dxa"/>
              <w:left w:w="100" w:type="dxa"/>
              <w:bottom w:w="80" w:type="dxa"/>
              <w:right w:w="100" w:type="dxa"/>
            </w:tcMar>
            <w:vAlign w:val="center"/>
          </w:tcPr>
          <w:p w14:paraId="5C535CDC" w14:textId="77777777" w:rsidR="002D0229" w:rsidRDefault="00000000">
            <w:pPr>
              <w:jc w:val="center"/>
            </w:pPr>
            <w:r>
              <w:rPr>
                <w:rFonts w:ascii="Calibri" w:eastAsia="Calibri" w:hAnsi="Calibri" w:cs="Calibri"/>
                <w:color w:val="000000"/>
              </w:rPr>
              <w:t>GW</w:t>
            </w:r>
          </w:p>
        </w:tc>
      </w:tr>
    </w:tbl>
    <w:p w14:paraId="7525A8A5" w14:textId="77777777" w:rsidR="002D0229" w:rsidRDefault="002D0229">
      <w:pPr>
        <w:spacing w:after="200"/>
      </w:pPr>
    </w:p>
    <w:p w14:paraId="40C3C0CC" w14:textId="211F7B25" w:rsidR="002D0229" w:rsidRDefault="00143766">
      <w:pPr>
        <w:pStyle w:val="Heading1"/>
        <w:pBdr>
          <w:bottom w:val="single" w:sz="8" w:space="4" w:color="1F3864"/>
        </w:pBdr>
        <w:spacing w:before="400" w:after="200"/>
      </w:pPr>
      <w:r>
        <w:rPr>
          <w:rFonts w:ascii="Calibri" w:eastAsia="Calibri" w:hAnsi="Calibri" w:cs="Calibri"/>
          <w:b/>
          <w:bCs/>
          <w:color w:val="1F3864"/>
          <w:sz w:val="28"/>
          <w:szCs w:val="28"/>
        </w:rPr>
        <w:t>1.0 PURPOSE</w:t>
      </w:r>
    </w:p>
    <w:p w14:paraId="30C81984" w14:textId="538AEEEE" w:rsidR="002D0229" w:rsidRDefault="00000000">
      <w:pPr>
        <w:spacing w:after="140" w:line="276" w:lineRule="auto"/>
        <w:jc w:val="both"/>
      </w:pPr>
      <w:r>
        <w:rPr>
          <w:rFonts w:ascii="Calibri" w:eastAsia="Calibri" w:hAnsi="Calibri" w:cs="Calibri"/>
          <w:sz w:val="22"/>
          <w:szCs w:val="22"/>
        </w:rPr>
        <w:t xml:space="preserve">South West Design Africa Limited (SWDA) </w:t>
      </w:r>
      <w:r w:rsidR="00143766">
        <w:rPr>
          <w:rFonts w:ascii="Calibri" w:eastAsia="Calibri" w:hAnsi="Calibri" w:cs="Calibri"/>
          <w:sz w:val="22"/>
          <w:szCs w:val="22"/>
        </w:rPr>
        <w:t>recognizes</w:t>
      </w:r>
      <w:r>
        <w:rPr>
          <w:rFonts w:ascii="Calibri" w:eastAsia="Calibri" w:hAnsi="Calibri" w:cs="Calibri"/>
          <w:sz w:val="22"/>
          <w:szCs w:val="22"/>
        </w:rPr>
        <w:t xml:space="preserve"> that its Health, Safety &amp; Environmental Management System (HSE-MS) can only remain effective, and legally compliant, if it is built upon — and continuously tested against — the full range of regulations and standards that govern SWDA's operations. This Process describes how SWDA systematically identifies, monitors, evaluates, and incorporates applicable Local, National, Regional and International regulations and standards into its HSE Policies, Standards, Procedures and Project HSE Plans (including this RAEC 18-Tank ATC/NME Tank Cleaning, Sludge Treatment, Oil Recovery &amp; Waste Management Project HSEP), so that these remain aligned with current legal and industry requirements at all times.</w:t>
      </w:r>
    </w:p>
    <w:p w14:paraId="0787BAC4" w14:textId="77777777" w:rsidR="002D0229" w:rsidRDefault="00000000">
      <w:pPr>
        <w:spacing w:after="140" w:line="276" w:lineRule="auto"/>
        <w:jc w:val="both"/>
      </w:pPr>
      <w:r>
        <w:rPr>
          <w:rFonts w:ascii="Calibri" w:eastAsia="Calibri" w:hAnsi="Calibri" w:cs="Calibri"/>
          <w:sz w:val="22"/>
          <w:szCs w:val="22"/>
        </w:rPr>
        <w:t>This Process supports and expands upon Section 4.3.5 (HSE Standards Alignment), Section 4.8 (HSE-MS System Review Procedures) and Section 4.9 (HSE Policy Statements) of the SWDA-Renaissance HSEP, and is intended to be read together with those sections.</w:t>
      </w:r>
    </w:p>
    <w:p w14:paraId="7D14B48F" w14:textId="2A4BE4E4" w:rsidR="002D0229" w:rsidRDefault="00143766">
      <w:pPr>
        <w:pStyle w:val="Heading1"/>
        <w:pBdr>
          <w:bottom w:val="single" w:sz="8" w:space="4" w:color="1F3864"/>
        </w:pBdr>
        <w:spacing w:before="400" w:after="200"/>
      </w:pPr>
      <w:r>
        <w:rPr>
          <w:rFonts w:ascii="Calibri" w:eastAsia="Calibri" w:hAnsi="Calibri" w:cs="Calibri"/>
          <w:b/>
          <w:bCs/>
          <w:color w:val="1F3864"/>
          <w:sz w:val="28"/>
          <w:szCs w:val="28"/>
        </w:rPr>
        <w:t>2.0 SCOPE</w:t>
      </w:r>
    </w:p>
    <w:p w14:paraId="1E5FDD78" w14:textId="77777777" w:rsidR="002D0229" w:rsidRDefault="00000000">
      <w:pPr>
        <w:spacing w:after="140" w:line="276" w:lineRule="auto"/>
        <w:jc w:val="both"/>
      </w:pPr>
      <w:r>
        <w:rPr>
          <w:rFonts w:ascii="Calibri" w:eastAsia="Calibri" w:hAnsi="Calibri" w:cs="Calibri"/>
          <w:sz w:val="22"/>
          <w:szCs w:val="22"/>
        </w:rPr>
        <w:t>This Process applies to:</w:t>
      </w:r>
    </w:p>
    <w:p w14:paraId="5EC00076" w14:textId="77777777" w:rsidR="002D0229" w:rsidRDefault="00000000">
      <w:pPr>
        <w:pStyle w:val="ListParagraph"/>
        <w:numPr>
          <w:ilvl w:val="0"/>
          <w:numId w:val="2"/>
        </w:numPr>
        <w:spacing w:after="90" w:line="276" w:lineRule="auto"/>
      </w:pPr>
      <w:r>
        <w:rPr>
          <w:rFonts w:ascii="Calibri" w:eastAsia="Calibri" w:hAnsi="Calibri" w:cs="Calibri"/>
          <w:sz w:val="22"/>
          <w:szCs w:val="22"/>
        </w:rPr>
        <w:t>All SWDA business units, offices, warehouses (including the Kidney Island Warehouse, Port Harcourt) and Project sites;</w:t>
      </w:r>
    </w:p>
    <w:p w14:paraId="06DE8DBB" w14:textId="77777777" w:rsidR="002D0229" w:rsidRDefault="00000000">
      <w:pPr>
        <w:pStyle w:val="ListParagraph"/>
        <w:numPr>
          <w:ilvl w:val="0"/>
          <w:numId w:val="2"/>
        </w:numPr>
        <w:spacing w:after="90" w:line="276" w:lineRule="auto"/>
      </w:pPr>
      <w:r>
        <w:rPr>
          <w:rFonts w:ascii="Calibri" w:eastAsia="Calibri" w:hAnsi="Calibri" w:cs="Calibri"/>
          <w:sz w:val="22"/>
          <w:szCs w:val="22"/>
        </w:rPr>
        <w:t>All SWDA Employees, and all Contractors and Subcontractors engaged on SWDA-managed work, including the RAEC 18-Tank ATC/NME Tank Cleaning Project and its five (5) Project locations in Nigeria;</w:t>
      </w:r>
    </w:p>
    <w:p w14:paraId="22EFF0C3" w14:textId="77777777" w:rsidR="002D0229" w:rsidRDefault="00000000">
      <w:pPr>
        <w:pStyle w:val="ListParagraph"/>
        <w:numPr>
          <w:ilvl w:val="0"/>
          <w:numId w:val="2"/>
        </w:numPr>
        <w:spacing w:after="90" w:line="276" w:lineRule="auto"/>
      </w:pPr>
      <w:r>
        <w:rPr>
          <w:rFonts w:ascii="Calibri" w:eastAsia="Calibri" w:hAnsi="Calibri" w:cs="Calibri"/>
          <w:sz w:val="22"/>
          <w:szCs w:val="22"/>
        </w:rPr>
        <w:t>All HSE-related Policies, Standards, Procedures, the HSE Manual, the Project HSEP, Site-Specific HSE Plans (SS-HSEP) and Job HSE Safety/Hazard Analyses (JS/HA) referenced elsewhere in the HSEP; and,</w:t>
      </w:r>
    </w:p>
    <w:p w14:paraId="69F43AA9" w14:textId="77777777" w:rsidR="002D0229" w:rsidRDefault="00000000">
      <w:pPr>
        <w:pStyle w:val="ListParagraph"/>
        <w:numPr>
          <w:ilvl w:val="0"/>
          <w:numId w:val="2"/>
        </w:numPr>
        <w:spacing w:after="90" w:line="276" w:lineRule="auto"/>
      </w:pPr>
      <w:r>
        <w:rPr>
          <w:rFonts w:ascii="Calibri" w:eastAsia="Calibri" w:hAnsi="Calibri" w:cs="Calibri"/>
          <w:sz w:val="22"/>
          <w:szCs w:val="22"/>
        </w:rPr>
        <w:t>Regulations and standards relating to occupational health &amp; safety, environmental protection, waste management, marine and land transport/logistics, and community/social performance, at Local, National, Regional and International level.</w:t>
      </w:r>
    </w:p>
    <w:p w14:paraId="40680B9F" w14:textId="77777777" w:rsidR="00143766" w:rsidRDefault="00143766">
      <w:pPr>
        <w:pStyle w:val="Heading1"/>
        <w:pBdr>
          <w:bottom w:val="single" w:sz="8" w:space="4" w:color="1F3864"/>
        </w:pBdr>
        <w:spacing w:before="400" w:after="200"/>
        <w:rPr>
          <w:rFonts w:ascii="Calibri" w:eastAsia="Calibri" w:hAnsi="Calibri" w:cs="Calibri"/>
          <w:b/>
          <w:bCs/>
          <w:color w:val="1F3864"/>
          <w:sz w:val="28"/>
          <w:szCs w:val="28"/>
        </w:rPr>
      </w:pPr>
    </w:p>
    <w:p w14:paraId="597B4CB8" w14:textId="3D109670" w:rsidR="002D0229" w:rsidRDefault="00143766">
      <w:pPr>
        <w:pStyle w:val="Heading1"/>
        <w:pBdr>
          <w:bottom w:val="single" w:sz="8" w:space="4" w:color="1F3864"/>
        </w:pBdr>
        <w:spacing w:before="400" w:after="200"/>
      </w:pPr>
      <w:r>
        <w:rPr>
          <w:rFonts w:ascii="Calibri" w:eastAsia="Calibri" w:hAnsi="Calibri" w:cs="Calibri"/>
          <w:b/>
          <w:bCs/>
          <w:color w:val="1F3864"/>
          <w:sz w:val="28"/>
          <w:szCs w:val="28"/>
        </w:rPr>
        <w:lastRenderedPageBreak/>
        <w:t>3.0 DEFINITIONS</w:t>
      </w:r>
    </w:p>
    <w:p w14:paraId="6A3B1B30" w14:textId="2158514A" w:rsidR="002D0229" w:rsidRDefault="00000000">
      <w:pPr>
        <w:pStyle w:val="ListParagraph"/>
        <w:numPr>
          <w:ilvl w:val="0"/>
          <w:numId w:val="2"/>
        </w:numPr>
        <w:spacing w:after="90" w:line="276" w:lineRule="auto"/>
      </w:pPr>
      <w:r>
        <w:rPr>
          <w:rFonts w:ascii="Calibri" w:eastAsia="Calibri" w:hAnsi="Calibri" w:cs="Calibri"/>
          <w:sz w:val="22"/>
          <w:szCs w:val="22"/>
        </w:rPr>
        <w:t xml:space="preserve">Applicable Regulation — any statute, regulation, </w:t>
      </w:r>
      <w:r w:rsidR="005818B9">
        <w:rPr>
          <w:rFonts w:ascii="Calibri" w:eastAsia="Calibri" w:hAnsi="Calibri" w:cs="Calibri"/>
          <w:sz w:val="22"/>
          <w:szCs w:val="22"/>
        </w:rPr>
        <w:t>license</w:t>
      </w:r>
      <w:r>
        <w:rPr>
          <w:rFonts w:ascii="Calibri" w:eastAsia="Calibri" w:hAnsi="Calibri" w:cs="Calibri"/>
          <w:sz w:val="22"/>
          <w:szCs w:val="22"/>
        </w:rPr>
        <w:t xml:space="preserve"> condition, permit condition, or legally binding instrument issued by a competent authority that governs SWDA's activities.</w:t>
      </w:r>
    </w:p>
    <w:p w14:paraId="788EF34D" w14:textId="4B94D975" w:rsidR="002D0229" w:rsidRDefault="00000000">
      <w:pPr>
        <w:pStyle w:val="ListParagraph"/>
        <w:numPr>
          <w:ilvl w:val="0"/>
          <w:numId w:val="2"/>
        </w:numPr>
        <w:spacing w:after="90" w:line="276" w:lineRule="auto"/>
      </w:pPr>
      <w:r>
        <w:rPr>
          <w:rFonts w:ascii="Calibri" w:eastAsia="Calibri" w:hAnsi="Calibri" w:cs="Calibri"/>
          <w:sz w:val="22"/>
          <w:szCs w:val="22"/>
        </w:rPr>
        <w:t xml:space="preserve">Standard — a </w:t>
      </w:r>
      <w:r w:rsidR="005818B9">
        <w:rPr>
          <w:rFonts w:ascii="Calibri" w:eastAsia="Calibri" w:hAnsi="Calibri" w:cs="Calibri"/>
          <w:sz w:val="22"/>
          <w:szCs w:val="22"/>
        </w:rPr>
        <w:t>recognized</w:t>
      </w:r>
      <w:r>
        <w:rPr>
          <w:rFonts w:ascii="Calibri" w:eastAsia="Calibri" w:hAnsi="Calibri" w:cs="Calibri"/>
          <w:sz w:val="22"/>
          <w:szCs w:val="22"/>
        </w:rPr>
        <w:t xml:space="preserve"> industry, national or international code of practice or management-system standard (e.g. ISO 14001, ISO 45001, ISO 31000, AS 4801) that SWDA has adopted or is required by Client/Contract to follow.</w:t>
      </w:r>
    </w:p>
    <w:p w14:paraId="1F18BC46" w14:textId="77777777" w:rsidR="002D0229" w:rsidRDefault="00000000">
      <w:pPr>
        <w:pStyle w:val="ListParagraph"/>
        <w:numPr>
          <w:ilvl w:val="0"/>
          <w:numId w:val="2"/>
        </w:numPr>
        <w:spacing w:after="90" w:line="276" w:lineRule="auto"/>
      </w:pPr>
      <w:r>
        <w:rPr>
          <w:rFonts w:ascii="Calibri" w:eastAsia="Calibri" w:hAnsi="Calibri" w:cs="Calibri"/>
          <w:sz w:val="22"/>
          <w:szCs w:val="22"/>
        </w:rPr>
        <w:t>Legal &amp; Regulatory Register — the master document (Section 5) in which every applicable regulation and standard, and SWDA's current compliance status against it, is recorded and tracked.</w:t>
      </w:r>
    </w:p>
    <w:p w14:paraId="12FB811B" w14:textId="77777777" w:rsidR="002D0229" w:rsidRDefault="00000000">
      <w:pPr>
        <w:pStyle w:val="ListParagraph"/>
        <w:numPr>
          <w:ilvl w:val="0"/>
          <w:numId w:val="2"/>
        </w:numPr>
        <w:spacing w:after="90" w:line="276" w:lineRule="auto"/>
      </w:pPr>
      <w:r>
        <w:rPr>
          <w:rFonts w:ascii="Calibri" w:eastAsia="Calibri" w:hAnsi="Calibri" w:cs="Calibri"/>
          <w:sz w:val="22"/>
          <w:szCs w:val="22"/>
        </w:rPr>
        <w:t>Regulatory Review Committee (RRC) — the cross-functional group, chaired by the HSE Manager, responsible for operating this Process (Section 6).</w:t>
      </w:r>
    </w:p>
    <w:p w14:paraId="55949AB6" w14:textId="5D8835B4" w:rsidR="002D0229" w:rsidRDefault="00143766">
      <w:pPr>
        <w:pStyle w:val="Heading1"/>
        <w:pBdr>
          <w:bottom w:val="single" w:sz="8" w:space="4" w:color="1F3864"/>
        </w:pBdr>
        <w:spacing w:before="400" w:after="200"/>
      </w:pPr>
      <w:r>
        <w:rPr>
          <w:rFonts w:ascii="Calibri" w:eastAsia="Calibri" w:hAnsi="Calibri" w:cs="Calibri"/>
          <w:b/>
          <w:bCs/>
          <w:color w:val="1F3864"/>
          <w:sz w:val="28"/>
          <w:szCs w:val="28"/>
        </w:rPr>
        <w:t>4.0 RESPONSIBILITIES</w:t>
      </w:r>
    </w:p>
    <w:p w14:paraId="410010E8" w14:textId="4C4E3F1B" w:rsidR="002D0229" w:rsidRDefault="00000000">
      <w:pPr>
        <w:spacing w:after="140" w:line="276" w:lineRule="auto"/>
        <w:jc w:val="both"/>
      </w:pPr>
      <w:r>
        <w:rPr>
          <w:rFonts w:ascii="Calibri" w:eastAsia="Calibri" w:hAnsi="Calibri" w:cs="Calibri"/>
          <w:sz w:val="22"/>
          <w:szCs w:val="22"/>
        </w:rPr>
        <w:t xml:space="preserve">Roles and responsibilities for the operation of this Process are </w:t>
      </w:r>
      <w:r w:rsidR="00143766">
        <w:rPr>
          <w:rFonts w:ascii="Calibri" w:eastAsia="Calibri" w:hAnsi="Calibri" w:cs="Calibri"/>
          <w:sz w:val="22"/>
          <w:szCs w:val="22"/>
        </w:rPr>
        <w:t>summarized</w:t>
      </w:r>
      <w:r>
        <w:rPr>
          <w:rFonts w:ascii="Calibri" w:eastAsia="Calibri" w:hAnsi="Calibri" w:cs="Calibri"/>
          <w:sz w:val="22"/>
          <w:szCs w:val="22"/>
        </w:rPr>
        <w:t xml:space="preserve"> below, and are exercised consistently with the broader HSE </w:t>
      </w:r>
      <w:r w:rsidR="00143766">
        <w:rPr>
          <w:rFonts w:ascii="Calibri" w:eastAsia="Calibri" w:hAnsi="Calibri" w:cs="Calibri"/>
          <w:sz w:val="22"/>
          <w:szCs w:val="22"/>
        </w:rPr>
        <w:t>Organization</w:t>
      </w:r>
      <w:r>
        <w:rPr>
          <w:rFonts w:ascii="Calibri" w:eastAsia="Calibri" w:hAnsi="Calibri" w:cs="Calibri"/>
          <w:sz w:val="22"/>
          <w:szCs w:val="22"/>
        </w:rPr>
        <w:t>, Responsibilities &amp; Resources described in HSEP Section 4.3.</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50"/>
      </w:tblGrid>
      <w:tr w:rsidR="002D0229" w14:paraId="43F79A8C" w14:textId="77777777">
        <w:trPr>
          <w:tblHeader/>
        </w:trPr>
        <w:tc>
          <w:tcPr>
            <w:tcW w:w="2800" w:type="dxa"/>
            <w:shd w:val="clear" w:color="auto" w:fill="1F3864"/>
            <w:tcMar>
              <w:top w:w="80" w:type="dxa"/>
              <w:left w:w="100" w:type="dxa"/>
              <w:bottom w:w="80" w:type="dxa"/>
              <w:right w:w="100" w:type="dxa"/>
            </w:tcMar>
            <w:vAlign w:val="center"/>
          </w:tcPr>
          <w:p w14:paraId="3A95777D" w14:textId="77777777" w:rsidR="002D0229" w:rsidRDefault="00000000">
            <w:r>
              <w:rPr>
                <w:rFonts w:ascii="Calibri" w:eastAsia="Calibri" w:hAnsi="Calibri" w:cs="Calibri"/>
                <w:b/>
                <w:bCs/>
                <w:color w:val="FFFFFF"/>
              </w:rPr>
              <w:t>ROLE</w:t>
            </w:r>
          </w:p>
        </w:tc>
        <w:tc>
          <w:tcPr>
            <w:tcW w:w="6550" w:type="dxa"/>
            <w:shd w:val="clear" w:color="auto" w:fill="1F3864"/>
            <w:tcMar>
              <w:top w:w="80" w:type="dxa"/>
              <w:left w:w="100" w:type="dxa"/>
              <w:bottom w:w="80" w:type="dxa"/>
              <w:right w:w="100" w:type="dxa"/>
            </w:tcMar>
            <w:vAlign w:val="center"/>
          </w:tcPr>
          <w:p w14:paraId="1315BCC5" w14:textId="77777777" w:rsidR="002D0229" w:rsidRDefault="00000000">
            <w:r>
              <w:rPr>
                <w:rFonts w:ascii="Calibri" w:eastAsia="Calibri" w:hAnsi="Calibri" w:cs="Calibri"/>
                <w:b/>
                <w:bCs/>
                <w:color w:val="FFFFFF"/>
              </w:rPr>
              <w:t>REGULATORY &amp; STANDARDS REVIEW RESPONSIBILITY</w:t>
            </w:r>
          </w:p>
        </w:tc>
      </w:tr>
      <w:tr w:rsidR="002D0229" w14:paraId="68925702" w14:textId="77777777">
        <w:tc>
          <w:tcPr>
            <w:tcW w:w="2800" w:type="dxa"/>
            <w:shd w:val="clear" w:color="auto" w:fill="F2F2F2"/>
            <w:tcMar>
              <w:top w:w="80" w:type="dxa"/>
              <w:left w:w="100" w:type="dxa"/>
              <w:bottom w:w="80" w:type="dxa"/>
              <w:right w:w="100" w:type="dxa"/>
            </w:tcMar>
            <w:vAlign w:val="center"/>
          </w:tcPr>
          <w:p w14:paraId="0CF0C38E" w14:textId="77777777" w:rsidR="002D0229" w:rsidRDefault="00000000">
            <w:r>
              <w:rPr>
                <w:rFonts w:ascii="Calibri" w:eastAsia="Calibri" w:hAnsi="Calibri" w:cs="Calibri"/>
                <w:b/>
                <w:bCs/>
                <w:color w:val="000000"/>
              </w:rPr>
              <w:t>Senior Management / Managing Director</w:t>
            </w:r>
          </w:p>
        </w:tc>
        <w:tc>
          <w:tcPr>
            <w:tcW w:w="6550" w:type="dxa"/>
            <w:shd w:val="clear" w:color="auto" w:fill="F2F2F2"/>
            <w:tcMar>
              <w:top w:w="80" w:type="dxa"/>
              <w:left w:w="100" w:type="dxa"/>
              <w:bottom w:w="80" w:type="dxa"/>
              <w:right w:w="100" w:type="dxa"/>
            </w:tcMar>
            <w:vAlign w:val="center"/>
          </w:tcPr>
          <w:p w14:paraId="0B8AD822" w14:textId="77777777" w:rsidR="002D0229" w:rsidRDefault="00000000">
            <w:r>
              <w:rPr>
                <w:rFonts w:ascii="Calibri" w:eastAsia="Calibri" w:hAnsi="Calibri" w:cs="Calibri"/>
                <w:color w:val="000000"/>
              </w:rPr>
              <w:t>Provides ultimate accountability for legal &amp; standards compliance; approves the Regulatory &amp; Legal Register and any resulting changes to the HSE Policy; allocates resources needed to close identified gaps.</w:t>
            </w:r>
          </w:p>
        </w:tc>
      </w:tr>
      <w:tr w:rsidR="002D0229" w14:paraId="4A1262A6" w14:textId="77777777">
        <w:tc>
          <w:tcPr>
            <w:tcW w:w="2800" w:type="dxa"/>
            <w:shd w:val="clear" w:color="auto" w:fill="FFFFFF"/>
            <w:tcMar>
              <w:top w:w="80" w:type="dxa"/>
              <w:left w:w="100" w:type="dxa"/>
              <w:bottom w:w="80" w:type="dxa"/>
              <w:right w:w="100" w:type="dxa"/>
            </w:tcMar>
            <w:vAlign w:val="center"/>
          </w:tcPr>
          <w:p w14:paraId="5120CC94" w14:textId="77777777" w:rsidR="002D0229" w:rsidRDefault="00000000">
            <w:r>
              <w:rPr>
                <w:rFonts w:ascii="Calibri" w:eastAsia="Calibri" w:hAnsi="Calibri" w:cs="Calibri"/>
                <w:b/>
                <w:bCs/>
                <w:color w:val="000000"/>
              </w:rPr>
              <w:t>HSE Manager / Management Representative</w:t>
            </w:r>
          </w:p>
        </w:tc>
        <w:tc>
          <w:tcPr>
            <w:tcW w:w="6550" w:type="dxa"/>
            <w:shd w:val="clear" w:color="auto" w:fill="FFFFFF"/>
            <w:tcMar>
              <w:top w:w="80" w:type="dxa"/>
              <w:left w:w="100" w:type="dxa"/>
              <w:bottom w:w="80" w:type="dxa"/>
              <w:right w:w="100" w:type="dxa"/>
            </w:tcMar>
            <w:vAlign w:val="center"/>
          </w:tcPr>
          <w:p w14:paraId="72553655" w14:textId="77777777" w:rsidR="002D0229" w:rsidRDefault="00000000">
            <w:r>
              <w:rPr>
                <w:rFonts w:ascii="Calibri" w:eastAsia="Calibri" w:hAnsi="Calibri" w:cs="Calibri"/>
                <w:color w:val="000000"/>
              </w:rPr>
              <w:t>Owns this Process; coordinates the review cycle; chairs the Regulatory Review Committee (RRC); maintains the master Legal &amp; Regulatory Register; escalates significant new or amended requirements to Senior Management.</w:t>
            </w:r>
          </w:p>
        </w:tc>
      </w:tr>
      <w:tr w:rsidR="002D0229" w14:paraId="7B1C0F7D" w14:textId="77777777">
        <w:tc>
          <w:tcPr>
            <w:tcW w:w="2800" w:type="dxa"/>
            <w:shd w:val="clear" w:color="auto" w:fill="F2F2F2"/>
            <w:tcMar>
              <w:top w:w="80" w:type="dxa"/>
              <w:left w:w="100" w:type="dxa"/>
              <w:bottom w:w="80" w:type="dxa"/>
              <w:right w:w="100" w:type="dxa"/>
            </w:tcMar>
            <w:vAlign w:val="center"/>
          </w:tcPr>
          <w:p w14:paraId="3E5F593D" w14:textId="77777777" w:rsidR="002D0229" w:rsidRDefault="00000000">
            <w:r>
              <w:rPr>
                <w:rFonts w:ascii="Calibri" w:eastAsia="Calibri" w:hAnsi="Calibri" w:cs="Calibri"/>
                <w:b/>
                <w:bCs/>
                <w:color w:val="000000"/>
              </w:rPr>
              <w:t>HSE Advisors / Project HSE Officers</w:t>
            </w:r>
          </w:p>
        </w:tc>
        <w:tc>
          <w:tcPr>
            <w:tcW w:w="6550" w:type="dxa"/>
            <w:shd w:val="clear" w:color="auto" w:fill="F2F2F2"/>
            <w:tcMar>
              <w:top w:w="80" w:type="dxa"/>
              <w:left w:w="100" w:type="dxa"/>
              <w:bottom w:w="80" w:type="dxa"/>
              <w:right w:w="100" w:type="dxa"/>
            </w:tcMar>
            <w:vAlign w:val="center"/>
          </w:tcPr>
          <w:p w14:paraId="6AEF5851" w14:textId="77777777" w:rsidR="002D0229" w:rsidRDefault="00000000">
            <w:r>
              <w:rPr>
                <w:rFonts w:ascii="Calibri" w:eastAsia="Calibri" w:hAnsi="Calibri" w:cs="Calibri"/>
                <w:color w:val="000000"/>
              </w:rPr>
              <w:t>Monitor day-to-day regulatory bulletins, client (RAEC) HSE requirements and site-level permit conditions; feed changes into the Register; support gap analysis and site implementation of updated controls.</w:t>
            </w:r>
          </w:p>
        </w:tc>
      </w:tr>
      <w:tr w:rsidR="002D0229" w14:paraId="5D0116BB" w14:textId="77777777">
        <w:tc>
          <w:tcPr>
            <w:tcW w:w="2800" w:type="dxa"/>
            <w:shd w:val="clear" w:color="auto" w:fill="FFFFFF"/>
            <w:tcMar>
              <w:top w:w="80" w:type="dxa"/>
              <w:left w:w="100" w:type="dxa"/>
              <w:bottom w:w="80" w:type="dxa"/>
              <w:right w:w="100" w:type="dxa"/>
            </w:tcMar>
            <w:vAlign w:val="center"/>
          </w:tcPr>
          <w:p w14:paraId="7E8B162F" w14:textId="77777777" w:rsidR="002D0229" w:rsidRDefault="00000000">
            <w:r>
              <w:rPr>
                <w:rFonts w:ascii="Calibri" w:eastAsia="Calibri" w:hAnsi="Calibri" w:cs="Calibri"/>
                <w:b/>
                <w:bCs/>
                <w:color w:val="000000"/>
              </w:rPr>
              <w:t>Legal / Compliance Focal Point (internal or retained counsel)</w:t>
            </w:r>
          </w:p>
        </w:tc>
        <w:tc>
          <w:tcPr>
            <w:tcW w:w="6550" w:type="dxa"/>
            <w:shd w:val="clear" w:color="auto" w:fill="FFFFFF"/>
            <w:tcMar>
              <w:top w:w="80" w:type="dxa"/>
              <w:left w:w="100" w:type="dxa"/>
              <w:bottom w:w="80" w:type="dxa"/>
              <w:right w:w="100" w:type="dxa"/>
            </w:tcMar>
            <w:vAlign w:val="center"/>
          </w:tcPr>
          <w:p w14:paraId="38DEF8F1" w14:textId="77777777" w:rsidR="002D0229" w:rsidRDefault="00000000">
            <w:r>
              <w:rPr>
                <w:rFonts w:ascii="Calibri" w:eastAsia="Calibri" w:hAnsi="Calibri" w:cs="Calibri"/>
                <w:color w:val="000000"/>
              </w:rPr>
              <w:t>Tracks Federal, State and Local legislative gazettes and case law; issues legal interpretation of new or amended regulations; confirms licensing / permit validity.</w:t>
            </w:r>
          </w:p>
        </w:tc>
      </w:tr>
      <w:tr w:rsidR="002D0229" w14:paraId="1DDB5C6D" w14:textId="77777777">
        <w:tc>
          <w:tcPr>
            <w:tcW w:w="2800" w:type="dxa"/>
            <w:shd w:val="clear" w:color="auto" w:fill="F2F2F2"/>
            <w:tcMar>
              <w:top w:w="80" w:type="dxa"/>
              <w:left w:w="100" w:type="dxa"/>
              <w:bottom w:w="80" w:type="dxa"/>
              <w:right w:w="100" w:type="dxa"/>
            </w:tcMar>
            <w:vAlign w:val="center"/>
          </w:tcPr>
          <w:p w14:paraId="0DD1F454" w14:textId="77777777" w:rsidR="002D0229" w:rsidRDefault="00000000">
            <w:r>
              <w:rPr>
                <w:rFonts w:ascii="Calibri" w:eastAsia="Calibri" w:hAnsi="Calibri" w:cs="Calibri"/>
                <w:b/>
                <w:bCs/>
                <w:color w:val="000000"/>
              </w:rPr>
              <w:t>Quality, HSE &amp; Standards Committee</w:t>
            </w:r>
          </w:p>
        </w:tc>
        <w:tc>
          <w:tcPr>
            <w:tcW w:w="6550" w:type="dxa"/>
            <w:shd w:val="clear" w:color="auto" w:fill="F2F2F2"/>
            <w:tcMar>
              <w:top w:w="80" w:type="dxa"/>
              <w:left w:w="100" w:type="dxa"/>
              <w:bottom w:w="80" w:type="dxa"/>
              <w:right w:w="100" w:type="dxa"/>
            </w:tcMar>
            <w:vAlign w:val="center"/>
          </w:tcPr>
          <w:p w14:paraId="4A96FFAD" w14:textId="77777777" w:rsidR="002D0229" w:rsidRDefault="00000000">
            <w:r>
              <w:rPr>
                <w:rFonts w:ascii="Calibri" w:eastAsia="Calibri" w:hAnsi="Calibri" w:cs="Calibri"/>
                <w:color w:val="000000"/>
              </w:rPr>
              <w:t>Reviews findings of each cycle; approves updates to SWDA HSE-MS documents, Policies, Procedures and the HSE Plan; verifies close-out of gap-analysis actions.</w:t>
            </w:r>
          </w:p>
        </w:tc>
      </w:tr>
      <w:tr w:rsidR="002D0229" w14:paraId="6A545825" w14:textId="77777777">
        <w:tc>
          <w:tcPr>
            <w:tcW w:w="2800" w:type="dxa"/>
            <w:shd w:val="clear" w:color="auto" w:fill="FFFFFF"/>
            <w:tcMar>
              <w:top w:w="80" w:type="dxa"/>
              <w:left w:w="100" w:type="dxa"/>
              <w:bottom w:w="80" w:type="dxa"/>
              <w:right w:w="100" w:type="dxa"/>
            </w:tcMar>
            <w:vAlign w:val="center"/>
          </w:tcPr>
          <w:p w14:paraId="03758D81" w14:textId="77777777" w:rsidR="002D0229" w:rsidRDefault="00000000">
            <w:r>
              <w:rPr>
                <w:rFonts w:ascii="Calibri" w:eastAsia="Calibri" w:hAnsi="Calibri" w:cs="Calibri"/>
                <w:b/>
                <w:bCs/>
                <w:color w:val="000000"/>
              </w:rPr>
              <w:t>Department / Line Managers &amp; Supervisors</w:t>
            </w:r>
          </w:p>
        </w:tc>
        <w:tc>
          <w:tcPr>
            <w:tcW w:w="6550" w:type="dxa"/>
            <w:shd w:val="clear" w:color="auto" w:fill="FFFFFF"/>
            <w:tcMar>
              <w:top w:w="80" w:type="dxa"/>
              <w:left w:w="100" w:type="dxa"/>
              <w:bottom w:w="80" w:type="dxa"/>
              <w:right w:w="100" w:type="dxa"/>
            </w:tcMar>
            <w:vAlign w:val="center"/>
          </w:tcPr>
          <w:p w14:paraId="4FC2416A" w14:textId="77777777" w:rsidR="002D0229" w:rsidRDefault="00000000">
            <w:r>
              <w:rPr>
                <w:rFonts w:ascii="Calibri" w:eastAsia="Calibri" w:hAnsi="Calibri" w:cs="Calibri"/>
                <w:color w:val="000000"/>
              </w:rPr>
              <w:t>Implement approved changes within their area of operation; communicate updated requirements to Employees &amp; Subcontractors; report suspected non-compliance.</w:t>
            </w:r>
          </w:p>
        </w:tc>
      </w:tr>
      <w:tr w:rsidR="002D0229" w14:paraId="6B367F18" w14:textId="77777777">
        <w:tc>
          <w:tcPr>
            <w:tcW w:w="2800" w:type="dxa"/>
            <w:shd w:val="clear" w:color="auto" w:fill="F2F2F2"/>
            <w:tcMar>
              <w:top w:w="80" w:type="dxa"/>
              <w:left w:w="100" w:type="dxa"/>
              <w:bottom w:w="80" w:type="dxa"/>
              <w:right w:w="100" w:type="dxa"/>
            </w:tcMar>
            <w:vAlign w:val="center"/>
          </w:tcPr>
          <w:p w14:paraId="40C67F13" w14:textId="77777777" w:rsidR="002D0229" w:rsidRDefault="00000000">
            <w:r>
              <w:rPr>
                <w:rFonts w:ascii="Calibri" w:eastAsia="Calibri" w:hAnsi="Calibri" w:cs="Calibri"/>
                <w:b/>
                <w:bCs/>
                <w:color w:val="000000"/>
              </w:rPr>
              <w:t>All Employees &amp; Contractors/Subcontractors</w:t>
            </w:r>
          </w:p>
        </w:tc>
        <w:tc>
          <w:tcPr>
            <w:tcW w:w="6550" w:type="dxa"/>
            <w:shd w:val="clear" w:color="auto" w:fill="F2F2F2"/>
            <w:tcMar>
              <w:top w:w="80" w:type="dxa"/>
              <w:left w:w="100" w:type="dxa"/>
              <w:bottom w:w="80" w:type="dxa"/>
              <w:right w:w="100" w:type="dxa"/>
            </w:tcMar>
            <w:vAlign w:val="center"/>
          </w:tcPr>
          <w:p w14:paraId="1A05CA81" w14:textId="77777777" w:rsidR="002D0229" w:rsidRDefault="00000000">
            <w:r>
              <w:rPr>
                <w:rFonts w:ascii="Calibri" w:eastAsia="Calibri" w:hAnsi="Calibri" w:cs="Calibri"/>
                <w:color w:val="000000"/>
              </w:rPr>
              <w:t>Comply with current regulatory requirements and SWDA Standards as communicated; report any observed regulatory change, gap or non-conformance to their Supervisor or HSE Advisor.</w:t>
            </w:r>
          </w:p>
        </w:tc>
      </w:tr>
    </w:tbl>
    <w:p w14:paraId="00955A61" w14:textId="77777777" w:rsidR="00143766" w:rsidRDefault="00143766">
      <w:pPr>
        <w:pStyle w:val="Heading1"/>
        <w:pBdr>
          <w:bottom w:val="single" w:sz="8" w:space="4" w:color="1F3864"/>
        </w:pBdr>
        <w:spacing w:before="400" w:after="200"/>
        <w:rPr>
          <w:rFonts w:ascii="Calibri" w:eastAsia="Calibri" w:hAnsi="Calibri" w:cs="Calibri"/>
          <w:b/>
          <w:bCs/>
          <w:color w:val="1F3864"/>
          <w:sz w:val="28"/>
          <w:szCs w:val="28"/>
        </w:rPr>
      </w:pPr>
    </w:p>
    <w:p w14:paraId="24B69975" w14:textId="6F44C6D3" w:rsidR="002D0229" w:rsidRDefault="00143766">
      <w:pPr>
        <w:pStyle w:val="Heading1"/>
        <w:pBdr>
          <w:bottom w:val="single" w:sz="8" w:space="4" w:color="1F3864"/>
        </w:pBdr>
        <w:spacing w:before="400" w:after="200"/>
      </w:pPr>
      <w:r>
        <w:rPr>
          <w:rFonts w:ascii="Calibri" w:eastAsia="Calibri" w:hAnsi="Calibri" w:cs="Calibri"/>
          <w:b/>
          <w:bCs/>
          <w:color w:val="1F3864"/>
          <w:sz w:val="28"/>
          <w:szCs w:val="28"/>
        </w:rPr>
        <w:t>5.0 REGULATORY &amp; STANDARDS FRAMEWORK — FOUR LEVELS</w:t>
      </w:r>
    </w:p>
    <w:p w14:paraId="0C29D9F9" w14:textId="19810B21" w:rsidR="002D0229" w:rsidRDefault="00000000">
      <w:pPr>
        <w:spacing w:after="140" w:line="276" w:lineRule="auto"/>
        <w:jc w:val="both"/>
      </w:pPr>
      <w:r>
        <w:rPr>
          <w:rFonts w:ascii="Calibri" w:eastAsia="Calibri" w:hAnsi="Calibri" w:cs="Calibri"/>
          <w:sz w:val="22"/>
          <w:szCs w:val="22"/>
        </w:rPr>
        <w:t xml:space="preserve">SWDA structures its regulatory and standards horizon-scanning across four levels, </w:t>
      </w:r>
      <w:r w:rsidR="005818B9">
        <w:rPr>
          <w:rFonts w:ascii="Calibri" w:eastAsia="Calibri" w:hAnsi="Calibri" w:cs="Calibri"/>
          <w:sz w:val="22"/>
          <w:szCs w:val="22"/>
        </w:rPr>
        <w:t>recognizing</w:t>
      </w:r>
      <w:r>
        <w:rPr>
          <w:rFonts w:ascii="Calibri" w:eastAsia="Calibri" w:hAnsi="Calibri" w:cs="Calibri"/>
          <w:sz w:val="22"/>
          <w:szCs w:val="22"/>
        </w:rPr>
        <w:t xml:space="preserve"> that requirements at one level may be more stringent than another; where this occurs, SWDA shall always apply the most stringent applicable requirement.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550"/>
      </w:tblGrid>
      <w:tr w:rsidR="002D0229" w14:paraId="4CE900D6" w14:textId="77777777">
        <w:trPr>
          <w:tblHeader/>
        </w:trPr>
        <w:tc>
          <w:tcPr>
            <w:tcW w:w="1800" w:type="dxa"/>
            <w:shd w:val="clear" w:color="auto" w:fill="1F3864"/>
            <w:tcMar>
              <w:top w:w="80" w:type="dxa"/>
              <w:left w:w="100" w:type="dxa"/>
              <w:bottom w:w="80" w:type="dxa"/>
              <w:right w:w="100" w:type="dxa"/>
            </w:tcMar>
            <w:vAlign w:val="center"/>
          </w:tcPr>
          <w:p w14:paraId="3C9BEF56" w14:textId="77777777" w:rsidR="002D0229" w:rsidRDefault="00000000">
            <w:r>
              <w:rPr>
                <w:rFonts w:ascii="Calibri" w:eastAsia="Calibri" w:hAnsi="Calibri" w:cs="Calibri"/>
                <w:b/>
                <w:bCs/>
                <w:color w:val="FFFFFF"/>
              </w:rPr>
              <w:t>LEVEL</w:t>
            </w:r>
          </w:p>
        </w:tc>
        <w:tc>
          <w:tcPr>
            <w:tcW w:w="7550" w:type="dxa"/>
            <w:shd w:val="clear" w:color="auto" w:fill="1F3864"/>
            <w:tcMar>
              <w:top w:w="80" w:type="dxa"/>
              <w:left w:w="100" w:type="dxa"/>
              <w:bottom w:w="80" w:type="dxa"/>
              <w:right w:w="100" w:type="dxa"/>
            </w:tcMar>
            <w:vAlign w:val="center"/>
          </w:tcPr>
          <w:p w14:paraId="453993D4" w14:textId="77777777" w:rsidR="002D0229" w:rsidRDefault="00000000">
            <w:r>
              <w:rPr>
                <w:rFonts w:ascii="Calibri" w:eastAsia="Calibri" w:hAnsi="Calibri" w:cs="Calibri"/>
                <w:b/>
                <w:bCs/>
                <w:color w:val="FFFFFF"/>
              </w:rPr>
              <w:t>ILLUSTRATIVE SOURCES OF REGULATION &amp; STANDARDS (NOT EXHAUSTIVE)</w:t>
            </w:r>
          </w:p>
        </w:tc>
      </w:tr>
      <w:tr w:rsidR="002D0229" w14:paraId="1DD5734B" w14:textId="77777777">
        <w:tc>
          <w:tcPr>
            <w:tcW w:w="1800" w:type="dxa"/>
            <w:shd w:val="clear" w:color="auto" w:fill="F2F2F2"/>
            <w:tcMar>
              <w:top w:w="80" w:type="dxa"/>
              <w:left w:w="100" w:type="dxa"/>
              <w:bottom w:w="80" w:type="dxa"/>
              <w:right w:w="100" w:type="dxa"/>
            </w:tcMar>
            <w:vAlign w:val="center"/>
          </w:tcPr>
          <w:p w14:paraId="21D1DCE6" w14:textId="77777777" w:rsidR="002D0229" w:rsidRDefault="00000000">
            <w:r>
              <w:rPr>
                <w:rFonts w:ascii="Calibri" w:eastAsia="Calibri" w:hAnsi="Calibri" w:cs="Calibri"/>
                <w:b/>
                <w:bCs/>
                <w:color w:val="000000"/>
              </w:rPr>
              <w:t>Local</w:t>
            </w:r>
          </w:p>
        </w:tc>
        <w:tc>
          <w:tcPr>
            <w:tcW w:w="7550" w:type="dxa"/>
            <w:shd w:val="clear" w:color="auto" w:fill="F2F2F2"/>
            <w:tcMar>
              <w:top w:w="80" w:type="dxa"/>
              <w:left w:w="100" w:type="dxa"/>
              <w:bottom w:w="80" w:type="dxa"/>
              <w:right w:w="100" w:type="dxa"/>
            </w:tcMar>
            <w:vAlign w:val="center"/>
          </w:tcPr>
          <w:p w14:paraId="0B141E27" w14:textId="77777777" w:rsidR="002D0229" w:rsidRDefault="00000000">
            <w:r>
              <w:rPr>
                <w:rFonts w:ascii="Calibri" w:eastAsia="Calibri" w:hAnsi="Calibri" w:cs="Calibri"/>
                <w:color w:val="000000"/>
              </w:rPr>
              <w:t xml:space="preserve">Host State environmental protection agency requirements (e.g. State Ministries of Environment); Local Government bye-laws and levies; Host Community MOUs / </w:t>
            </w:r>
            <w:proofErr w:type="spellStart"/>
            <w:r>
              <w:rPr>
                <w:rFonts w:ascii="Calibri" w:eastAsia="Calibri" w:hAnsi="Calibri" w:cs="Calibri"/>
                <w:color w:val="000000"/>
              </w:rPr>
              <w:t>GMoUs</w:t>
            </w:r>
            <w:proofErr w:type="spellEnd"/>
            <w:r>
              <w:rPr>
                <w:rFonts w:ascii="Calibri" w:eastAsia="Calibri" w:hAnsi="Calibri" w:cs="Calibri"/>
                <w:color w:val="000000"/>
              </w:rPr>
              <w:t xml:space="preserve"> and Community Engagement Plan commitments; site- and facility-specific RAEC permit-to-work and entry conditions.</w:t>
            </w:r>
          </w:p>
        </w:tc>
      </w:tr>
      <w:tr w:rsidR="002D0229" w14:paraId="5BAF4048" w14:textId="77777777">
        <w:tc>
          <w:tcPr>
            <w:tcW w:w="1800" w:type="dxa"/>
            <w:shd w:val="clear" w:color="auto" w:fill="FFFFFF"/>
            <w:tcMar>
              <w:top w:w="80" w:type="dxa"/>
              <w:left w:w="100" w:type="dxa"/>
              <w:bottom w:w="80" w:type="dxa"/>
              <w:right w:w="100" w:type="dxa"/>
            </w:tcMar>
            <w:vAlign w:val="center"/>
          </w:tcPr>
          <w:p w14:paraId="20B4D5C5" w14:textId="77777777" w:rsidR="002D0229" w:rsidRDefault="00000000">
            <w:r>
              <w:rPr>
                <w:rFonts w:ascii="Calibri" w:eastAsia="Calibri" w:hAnsi="Calibri" w:cs="Calibri"/>
                <w:b/>
                <w:bCs/>
                <w:color w:val="000000"/>
              </w:rPr>
              <w:t>National</w:t>
            </w:r>
          </w:p>
        </w:tc>
        <w:tc>
          <w:tcPr>
            <w:tcW w:w="7550" w:type="dxa"/>
            <w:shd w:val="clear" w:color="auto" w:fill="FFFFFF"/>
            <w:tcMar>
              <w:top w:w="80" w:type="dxa"/>
              <w:left w:w="100" w:type="dxa"/>
              <w:bottom w:w="80" w:type="dxa"/>
              <w:right w:w="100" w:type="dxa"/>
            </w:tcMar>
            <w:vAlign w:val="center"/>
          </w:tcPr>
          <w:p w14:paraId="5479B205" w14:textId="77777777" w:rsidR="002D0229" w:rsidRDefault="00000000">
            <w:r>
              <w:rPr>
                <w:rFonts w:ascii="Calibri" w:eastAsia="Calibri" w:hAnsi="Calibri" w:cs="Calibri"/>
                <w:color w:val="000000"/>
              </w:rPr>
              <w:t xml:space="preserve">Nigerian Upstream Petroleum Regulatory Commission (NUPRC) guidelines &amp; Petroleum Industry Act (PIA) 2021; Nigerian Midstream &amp; Downstream Petroleum Regulatory Authority (NMDPRA); National Environmental Standards &amp; Regulations Enforcement Agency (NESREA) Act &amp; Regulations; National Oil Spill Detection &amp; Response Agency (NOSDRA) Act; Factories Act; Employees' Compensation Act; </w:t>
            </w:r>
            <w:proofErr w:type="spellStart"/>
            <w:r>
              <w:rPr>
                <w:rFonts w:ascii="Calibri" w:eastAsia="Calibri" w:hAnsi="Calibri" w:cs="Calibri"/>
                <w:color w:val="000000"/>
              </w:rPr>
              <w:t>Labour</w:t>
            </w:r>
            <w:proofErr w:type="spellEnd"/>
            <w:r>
              <w:rPr>
                <w:rFonts w:ascii="Calibri" w:eastAsia="Calibri" w:hAnsi="Calibri" w:cs="Calibri"/>
                <w:color w:val="000000"/>
              </w:rPr>
              <w:t xml:space="preserve"> Act; Harmful Waste (Special Criminal Provisions) Act; Nigerian Content Development &amp; Monitoring Board (NCDMB) Act; National Environmental (Sanitation and Wastes Control) Regulations.</w:t>
            </w:r>
          </w:p>
        </w:tc>
      </w:tr>
      <w:tr w:rsidR="002D0229" w14:paraId="1C82B4C2" w14:textId="77777777">
        <w:tc>
          <w:tcPr>
            <w:tcW w:w="1800" w:type="dxa"/>
            <w:shd w:val="clear" w:color="auto" w:fill="F2F2F2"/>
            <w:tcMar>
              <w:top w:w="80" w:type="dxa"/>
              <w:left w:w="100" w:type="dxa"/>
              <w:bottom w:w="80" w:type="dxa"/>
              <w:right w:w="100" w:type="dxa"/>
            </w:tcMar>
            <w:vAlign w:val="center"/>
          </w:tcPr>
          <w:p w14:paraId="6D41FB85" w14:textId="77777777" w:rsidR="002D0229" w:rsidRDefault="00000000">
            <w:r>
              <w:rPr>
                <w:rFonts w:ascii="Calibri" w:eastAsia="Calibri" w:hAnsi="Calibri" w:cs="Calibri"/>
                <w:b/>
                <w:bCs/>
                <w:color w:val="000000"/>
              </w:rPr>
              <w:t>Regional</w:t>
            </w:r>
          </w:p>
        </w:tc>
        <w:tc>
          <w:tcPr>
            <w:tcW w:w="7550" w:type="dxa"/>
            <w:shd w:val="clear" w:color="auto" w:fill="F2F2F2"/>
            <w:tcMar>
              <w:top w:w="80" w:type="dxa"/>
              <w:left w:w="100" w:type="dxa"/>
              <w:bottom w:w="80" w:type="dxa"/>
              <w:right w:w="100" w:type="dxa"/>
            </w:tcMar>
            <w:vAlign w:val="center"/>
          </w:tcPr>
          <w:p w14:paraId="175B16B4" w14:textId="77777777" w:rsidR="002D0229" w:rsidRDefault="00000000">
            <w:r>
              <w:rPr>
                <w:rFonts w:ascii="Calibri" w:eastAsia="Calibri" w:hAnsi="Calibri" w:cs="Calibri"/>
                <w:color w:val="000000"/>
              </w:rPr>
              <w:t xml:space="preserve">ECOWAS environmental and </w:t>
            </w:r>
            <w:proofErr w:type="spellStart"/>
            <w:r>
              <w:rPr>
                <w:rFonts w:ascii="Calibri" w:eastAsia="Calibri" w:hAnsi="Calibri" w:cs="Calibri"/>
                <w:color w:val="000000"/>
              </w:rPr>
              <w:t>labour</w:t>
            </w:r>
            <w:proofErr w:type="spellEnd"/>
            <w:r>
              <w:rPr>
                <w:rFonts w:ascii="Calibri" w:eastAsia="Calibri" w:hAnsi="Calibri" w:cs="Calibri"/>
                <w:color w:val="000000"/>
              </w:rPr>
              <w:t xml:space="preserve"> protocols; African Union Agenda 2063 environmental frameworks; Abidjan Convention for the Protection of the Marine and Coastal Environment of the West and Central African Region; GIWACAF (Global Initiative West, Central and Southern Africa) oil-spill response cooperation framework.</w:t>
            </w:r>
          </w:p>
        </w:tc>
      </w:tr>
      <w:tr w:rsidR="002D0229" w14:paraId="6A8B5CB3" w14:textId="77777777">
        <w:tc>
          <w:tcPr>
            <w:tcW w:w="1800" w:type="dxa"/>
            <w:shd w:val="clear" w:color="auto" w:fill="FFFFFF"/>
            <w:tcMar>
              <w:top w:w="80" w:type="dxa"/>
              <w:left w:w="100" w:type="dxa"/>
              <w:bottom w:w="80" w:type="dxa"/>
              <w:right w:w="100" w:type="dxa"/>
            </w:tcMar>
            <w:vAlign w:val="center"/>
          </w:tcPr>
          <w:p w14:paraId="5D5D473F" w14:textId="77777777" w:rsidR="002D0229" w:rsidRDefault="00000000">
            <w:r>
              <w:rPr>
                <w:rFonts w:ascii="Calibri" w:eastAsia="Calibri" w:hAnsi="Calibri" w:cs="Calibri"/>
                <w:b/>
                <w:bCs/>
                <w:color w:val="000000"/>
              </w:rPr>
              <w:t>International</w:t>
            </w:r>
          </w:p>
        </w:tc>
        <w:tc>
          <w:tcPr>
            <w:tcW w:w="7550" w:type="dxa"/>
            <w:shd w:val="clear" w:color="auto" w:fill="FFFFFF"/>
            <w:tcMar>
              <w:top w:w="80" w:type="dxa"/>
              <w:left w:w="100" w:type="dxa"/>
              <w:bottom w:w="80" w:type="dxa"/>
              <w:right w:w="100" w:type="dxa"/>
            </w:tcMar>
            <w:vAlign w:val="center"/>
          </w:tcPr>
          <w:p w14:paraId="5E8334BF" w14:textId="77777777" w:rsidR="002D0229" w:rsidRDefault="00000000">
            <w:r>
              <w:rPr>
                <w:rFonts w:ascii="Calibri" w:eastAsia="Calibri" w:hAnsi="Calibri" w:cs="Calibri"/>
                <w:color w:val="000000"/>
              </w:rPr>
              <w:t xml:space="preserve">ISO 14001 (Environmental Management); ISO 45001 (Occupational Health &amp; Safety, successor to OHSAS 18001); ISO 31000 (Risk Management); AS 4801; IMO Conventions (e.g. MARPOL) where marine </w:t>
            </w:r>
            <w:proofErr w:type="spellStart"/>
            <w:r>
              <w:rPr>
                <w:rFonts w:ascii="Calibri" w:eastAsia="Calibri" w:hAnsi="Calibri" w:cs="Calibri"/>
                <w:color w:val="000000"/>
              </w:rPr>
              <w:t>mobilisation</w:t>
            </w:r>
            <w:proofErr w:type="spellEnd"/>
            <w:r>
              <w:rPr>
                <w:rFonts w:ascii="Calibri" w:eastAsia="Calibri" w:hAnsi="Calibri" w:cs="Calibri"/>
                <w:color w:val="000000"/>
              </w:rPr>
              <w:t xml:space="preserve"> applies; ILO Conventions on Occupational Safety &amp; Health; Basel Convention on Hazardous Waste; IFC Performance Standards &amp; IPIECA/IOGP good-practice guidance; RAEC / Client corporate HSE Standards adopted contractually.</w:t>
            </w:r>
          </w:p>
        </w:tc>
      </w:tr>
    </w:tbl>
    <w:p w14:paraId="7F702CA5" w14:textId="77777777" w:rsidR="002D0229" w:rsidRDefault="002D0229">
      <w:pPr>
        <w:spacing w:after="100"/>
      </w:pPr>
    </w:p>
    <w:p w14:paraId="0D6DAC2F" w14:textId="77777777" w:rsidR="002D0229" w:rsidRDefault="00000000">
      <w:pPr>
        <w:spacing w:after="140" w:line="276" w:lineRule="auto"/>
        <w:jc w:val="both"/>
      </w:pPr>
      <w:r>
        <w:rPr>
          <w:rFonts w:ascii="Calibri" w:eastAsia="Calibri" w:hAnsi="Calibri" w:cs="Calibri"/>
          <w:sz w:val="22"/>
          <w:szCs w:val="22"/>
        </w:rPr>
        <w:t>The examples above are illustrative and not exhaustive. The full, current list of regulations and standards applicable to SWDA and to this Project is maintained in the Legal &amp; Regulatory Register described in Section 7.</w:t>
      </w:r>
    </w:p>
    <w:p w14:paraId="43732C77" w14:textId="725E74D8" w:rsidR="002D0229" w:rsidRDefault="00143766">
      <w:pPr>
        <w:pStyle w:val="Heading1"/>
        <w:pBdr>
          <w:bottom w:val="single" w:sz="8" w:space="4" w:color="1F3864"/>
        </w:pBdr>
        <w:spacing w:before="400" w:after="200"/>
      </w:pPr>
      <w:r>
        <w:rPr>
          <w:rFonts w:ascii="Calibri" w:eastAsia="Calibri" w:hAnsi="Calibri" w:cs="Calibri"/>
          <w:b/>
          <w:bCs/>
          <w:color w:val="1F3864"/>
          <w:sz w:val="28"/>
          <w:szCs w:val="28"/>
        </w:rPr>
        <w:t>6.0 PROCESS FOR REVIEW</w:t>
      </w:r>
    </w:p>
    <w:p w14:paraId="347D9D35" w14:textId="77777777" w:rsidR="002D0229" w:rsidRDefault="00000000">
      <w:pPr>
        <w:spacing w:after="140" w:line="276" w:lineRule="auto"/>
        <w:jc w:val="both"/>
      </w:pPr>
      <w:r>
        <w:rPr>
          <w:rFonts w:ascii="Calibri" w:eastAsia="Calibri" w:hAnsi="Calibri" w:cs="Calibri"/>
          <w:sz w:val="22"/>
          <w:szCs w:val="22"/>
        </w:rPr>
        <w:t>SWDA operates the following nine-step process to ensure applicable regulations and standards are identified, evaluated and reflected in current SWDA Policies and Standards:</w:t>
      </w:r>
    </w:p>
    <w:p w14:paraId="5204DB23" w14:textId="77777777" w:rsidR="002D0229" w:rsidRDefault="00000000">
      <w:pPr>
        <w:spacing w:before="160" w:after="40"/>
      </w:pPr>
      <w:r>
        <w:rPr>
          <w:rFonts w:ascii="Calibri" w:eastAsia="Calibri" w:hAnsi="Calibri" w:cs="Calibri"/>
          <w:b/>
          <w:bCs/>
          <w:color w:val="1F3864"/>
          <w:sz w:val="22"/>
          <w:szCs w:val="22"/>
        </w:rPr>
        <w:t>Step 1 — Identify</w:t>
      </w:r>
    </w:p>
    <w:p w14:paraId="1F57A23C" w14:textId="77777777" w:rsidR="002D0229" w:rsidRDefault="00000000">
      <w:pPr>
        <w:spacing w:after="140" w:line="276" w:lineRule="auto"/>
        <w:jc w:val="both"/>
      </w:pPr>
      <w:r>
        <w:rPr>
          <w:rFonts w:ascii="Calibri" w:eastAsia="Calibri" w:hAnsi="Calibri" w:cs="Calibri"/>
          <w:sz w:val="22"/>
          <w:szCs w:val="22"/>
        </w:rPr>
        <w:t>Compile and maintain a master list of all Local, National, Regional &amp; International regulations and standards applicable to SWDA's operations and to this ATC/NME Tank Cleaning Project, drawing on the Project SOW, RAEC contract requirements, and the sources listed in Section 3 above.</w:t>
      </w:r>
    </w:p>
    <w:p w14:paraId="7FF7AD70" w14:textId="77777777" w:rsidR="002D0229" w:rsidRDefault="00000000">
      <w:pPr>
        <w:spacing w:before="160" w:after="40"/>
      </w:pPr>
      <w:r>
        <w:rPr>
          <w:rFonts w:ascii="Calibri" w:eastAsia="Calibri" w:hAnsi="Calibri" w:cs="Calibri"/>
          <w:b/>
          <w:bCs/>
          <w:color w:val="1F3864"/>
          <w:sz w:val="22"/>
          <w:szCs w:val="22"/>
        </w:rPr>
        <w:t>Step 2 — Monitor</w:t>
      </w:r>
    </w:p>
    <w:p w14:paraId="5BC59321" w14:textId="77777777" w:rsidR="002D0229" w:rsidRDefault="00000000">
      <w:pPr>
        <w:spacing w:after="140" w:line="276" w:lineRule="auto"/>
        <w:jc w:val="both"/>
      </w:pPr>
      <w:r>
        <w:rPr>
          <w:rFonts w:ascii="Calibri" w:eastAsia="Calibri" w:hAnsi="Calibri" w:cs="Calibri"/>
          <w:sz w:val="22"/>
          <w:szCs w:val="22"/>
        </w:rPr>
        <w:t>Continuously monitor regulator websites/gazettes, subscription legal-update services, industry bodies (e.g. NUPRC, NESREA, IOGP, ISO), and RAEC/Client communications for new, amended or withdrawn requirements.</w:t>
      </w:r>
    </w:p>
    <w:p w14:paraId="4854C9D3" w14:textId="77777777" w:rsidR="00143766" w:rsidRDefault="00143766">
      <w:pPr>
        <w:spacing w:before="160" w:after="40"/>
        <w:rPr>
          <w:rFonts w:ascii="Calibri" w:eastAsia="Calibri" w:hAnsi="Calibri" w:cs="Calibri"/>
          <w:b/>
          <w:bCs/>
          <w:color w:val="1F3864"/>
          <w:sz w:val="22"/>
          <w:szCs w:val="22"/>
        </w:rPr>
      </w:pPr>
    </w:p>
    <w:p w14:paraId="45AA3321" w14:textId="2CB574F6" w:rsidR="002D0229" w:rsidRDefault="00000000">
      <w:pPr>
        <w:spacing w:before="160" w:after="40"/>
      </w:pPr>
      <w:r>
        <w:rPr>
          <w:rFonts w:ascii="Calibri" w:eastAsia="Calibri" w:hAnsi="Calibri" w:cs="Calibri"/>
          <w:b/>
          <w:bCs/>
          <w:color w:val="1F3864"/>
          <w:sz w:val="22"/>
          <w:szCs w:val="22"/>
        </w:rPr>
        <w:t>Step 3 — Evaluate Applicability</w:t>
      </w:r>
    </w:p>
    <w:p w14:paraId="2D78402C" w14:textId="77777777" w:rsidR="002D0229" w:rsidRDefault="00000000">
      <w:pPr>
        <w:spacing w:after="140" w:line="276" w:lineRule="auto"/>
        <w:jc w:val="both"/>
      </w:pPr>
      <w:r>
        <w:rPr>
          <w:rFonts w:ascii="Calibri" w:eastAsia="Calibri" w:hAnsi="Calibri" w:cs="Calibri"/>
          <w:sz w:val="22"/>
          <w:szCs w:val="22"/>
        </w:rPr>
        <w:t>Assess each new or changed item for relevance to SWDA's activities, locations and the Renaissance Project, and determine the level of impact.</w:t>
      </w:r>
    </w:p>
    <w:p w14:paraId="7942A0E3" w14:textId="77777777" w:rsidR="002D0229" w:rsidRDefault="00000000">
      <w:pPr>
        <w:spacing w:before="160" w:after="40"/>
      </w:pPr>
      <w:r>
        <w:rPr>
          <w:rFonts w:ascii="Calibri" w:eastAsia="Calibri" w:hAnsi="Calibri" w:cs="Calibri"/>
          <w:b/>
          <w:bCs/>
          <w:color w:val="1F3864"/>
          <w:sz w:val="22"/>
          <w:szCs w:val="22"/>
        </w:rPr>
        <w:t>Step 4 — Gap Analysis</w:t>
      </w:r>
    </w:p>
    <w:p w14:paraId="0C231A8E" w14:textId="77777777" w:rsidR="002D0229" w:rsidRDefault="00000000">
      <w:pPr>
        <w:spacing w:after="140" w:line="276" w:lineRule="auto"/>
        <w:jc w:val="both"/>
      </w:pPr>
      <w:r>
        <w:rPr>
          <w:rFonts w:ascii="Calibri" w:eastAsia="Calibri" w:hAnsi="Calibri" w:cs="Calibri"/>
          <w:sz w:val="22"/>
          <w:szCs w:val="22"/>
        </w:rPr>
        <w:t>Compare the requirement against current SWDA HSE Policy, HSE-MS, HSEP, Procedures and Site-Specific HSE Plans (Ref. HSEP Sec. 3.7) to identify any gap or conflict.</w:t>
      </w:r>
    </w:p>
    <w:p w14:paraId="39BE7741" w14:textId="77777777" w:rsidR="002D0229" w:rsidRDefault="00000000">
      <w:pPr>
        <w:spacing w:before="160" w:after="40"/>
      </w:pPr>
      <w:r>
        <w:rPr>
          <w:rFonts w:ascii="Calibri" w:eastAsia="Calibri" w:hAnsi="Calibri" w:cs="Calibri"/>
          <w:b/>
          <w:bCs/>
          <w:color w:val="1F3864"/>
          <w:sz w:val="22"/>
          <w:szCs w:val="22"/>
        </w:rPr>
        <w:t>Step 5 — Update</w:t>
      </w:r>
    </w:p>
    <w:p w14:paraId="5AF1BEE5" w14:textId="77777777" w:rsidR="002D0229" w:rsidRDefault="00000000">
      <w:pPr>
        <w:spacing w:after="140" w:line="276" w:lineRule="auto"/>
        <w:jc w:val="both"/>
      </w:pPr>
      <w:r>
        <w:rPr>
          <w:rFonts w:ascii="Calibri" w:eastAsia="Calibri" w:hAnsi="Calibri" w:cs="Calibri"/>
          <w:sz w:val="22"/>
          <w:szCs w:val="22"/>
        </w:rPr>
        <w:t>Revise the affected Policy, Standard, Procedure or HSE Plan section; assign an owner and target date for any control, training or resource change needed to close the gap.</w:t>
      </w:r>
    </w:p>
    <w:p w14:paraId="07353F92" w14:textId="77777777" w:rsidR="002D0229" w:rsidRDefault="00000000">
      <w:pPr>
        <w:spacing w:before="160" w:after="40"/>
      </w:pPr>
      <w:r>
        <w:rPr>
          <w:rFonts w:ascii="Calibri" w:eastAsia="Calibri" w:hAnsi="Calibri" w:cs="Calibri"/>
          <w:b/>
          <w:bCs/>
          <w:color w:val="1F3864"/>
          <w:sz w:val="22"/>
          <w:szCs w:val="22"/>
        </w:rPr>
        <w:t>Step 6 — Approve &amp; Endorse</w:t>
      </w:r>
    </w:p>
    <w:p w14:paraId="20D4787E" w14:textId="77777777" w:rsidR="002D0229" w:rsidRDefault="00000000">
      <w:pPr>
        <w:spacing w:after="140" w:line="276" w:lineRule="auto"/>
        <w:jc w:val="both"/>
      </w:pPr>
      <w:r>
        <w:rPr>
          <w:rFonts w:ascii="Calibri" w:eastAsia="Calibri" w:hAnsi="Calibri" w:cs="Calibri"/>
          <w:sz w:val="22"/>
          <w:szCs w:val="22"/>
        </w:rPr>
        <w:t>Submit proposed changes to the Quality, HSE &amp; Standards Committee and Senior Management for review and formal sign-off, consistent with HSEP Sec. 4.8 (HSE-MS Review Procedures).</w:t>
      </w:r>
    </w:p>
    <w:p w14:paraId="121F32F2" w14:textId="77777777" w:rsidR="002D0229" w:rsidRDefault="00000000">
      <w:pPr>
        <w:spacing w:before="160" w:after="40"/>
      </w:pPr>
      <w:r>
        <w:rPr>
          <w:rFonts w:ascii="Calibri" w:eastAsia="Calibri" w:hAnsi="Calibri" w:cs="Calibri"/>
          <w:b/>
          <w:bCs/>
          <w:color w:val="1F3864"/>
          <w:sz w:val="22"/>
          <w:szCs w:val="22"/>
        </w:rPr>
        <w:t>Step 7 — Communicate &amp; Train</w:t>
      </w:r>
    </w:p>
    <w:p w14:paraId="51F23818" w14:textId="77777777" w:rsidR="002D0229" w:rsidRDefault="00000000">
      <w:pPr>
        <w:spacing w:after="140" w:line="276" w:lineRule="auto"/>
        <w:jc w:val="both"/>
      </w:pPr>
      <w:r>
        <w:rPr>
          <w:rFonts w:ascii="Calibri" w:eastAsia="Calibri" w:hAnsi="Calibri" w:cs="Calibri"/>
          <w:sz w:val="22"/>
          <w:szCs w:val="22"/>
        </w:rPr>
        <w:t>Communicate approved changes to all affected Employees, Contractors and Subcontractors, and deliver refresher training/toolbox talks where the change affects work methods or PPE.</w:t>
      </w:r>
    </w:p>
    <w:p w14:paraId="545EC3D0" w14:textId="77777777" w:rsidR="002D0229" w:rsidRDefault="00000000">
      <w:pPr>
        <w:spacing w:before="160" w:after="40"/>
      </w:pPr>
      <w:r>
        <w:rPr>
          <w:rFonts w:ascii="Calibri" w:eastAsia="Calibri" w:hAnsi="Calibri" w:cs="Calibri"/>
          <w:b/>
          <w:bCs/>
          <w:color w:val="1F3864"/>
          <w:sz w:val="22"/>
          <w:szCs w:val="22"/>
        </w:rPr>
        <w:t>Step 8 — Record</w:t>
      </w:r>
    </w:p>
    <w:p w14:paraId="528AED42" w14:textId="77777777" w:rsidR="002D0229" w:rsidRDefault="00000000">
      <w:pPr>
        <w:spacing w:after="140" w:line="276" w:lineRule="auto"/>
        <w:jc w:val="both"/>
      </w:pPr>
      <w:r>
        <w:rPr>
          <w:rFonts w:ascii="Calibri" w:eastAsia="Calibri" w:hAnsi="Calibri" w:cs="Calibri"/>
          <w:sz w:val="22"/>
          <w:szCs w:val="22"/>
        </w:rPr>
        <w:t>Update the Legal &amp; Regulatory Register (Section 5) with the new requirement, compliance status, and evidence/document reference; retain superseded versions per SWDA document control procedures.</w:t>
      </w:r>
    </w:p>
    <w:p w14:paraId="36BCEFFE" w14:textId="77777777" w:rsidR="002D0229" w:rsidRDefault="00000000">
      <w:pPr>
        <w:spacing w:before="160" w:after="40"/>
      </w:pPr>
      <w:r>
        <w:rPr>
          <w:rFonts w:ascii="Calibri" w:eastAsia="Calibri" w:hAnsi="Calibri" w:cs="Calibri"/>
          <w:b/>
          <w:bCs/>
          <w:color w:val="1F3864"/>
          <w:sz w:val="22"/>
          <w:szCs w:val="22"/>
        </w:rPr>
        <w:t>Step 9 — Verify</w:t>
      </w:r>
    </w:p>
    <w:p w14:paraId="094FB626" w14:textId="77777777" w:rsidR="002D0229" w:rsidRDefault="00000000">
      <w:pPr>
        <w:spacing w:after="140" w:line="276" w:lineRule="auto"/>
        <w:jc w:val="both"/>
      </w:pPr>
      <w:r>
        <w:rPr>
          <w:rFonts w:ascii="Calibri" w:eastAsia="Calibri" w:hAnsi="Calibri" w:cs="Calibri"/>
          <w:sz w:val="22"/>
          <w:szCs w:val="22"/>
        </w:rPr>
        <w:t xml:space="preserve">Confirm implementation and effectiveness through the HSE Audit </w:t>
      </w:r>
      <w:proofErr w:type="spellStart"/>
      <w:r>
        <w:rPr>
          <w:rFonts w:ascii="Calibri" w:eastAsia="Calibri" w:hAnsi="Calibri" w:cs="Calibri"/>
          <w:sz w:val="22"/>
          <w:szCs w:val="22"/>
        </w:rPr>
        <w:t>Programme</w:t>
      </w:r>
      <w:proofErr w:type="spellEnd"/>
      <w:r>
        <w:rPr>
          <w:rFonts w:ascii="Calibri" w:eastAsia="Calibri" w:hAnsi="Calibri" w:cs="Calibri"/>
          <w:sz w:val="22"/>
          <w:szCs w:val="22"/>
        </w:rPr>
        <w:t xml:space="preserve"> (Ref. HSEP Sec. 4.7) and include legal-compliance verification as a standing agenda item of the annual HSE-MS Review (Ref. HSEP Sec. 4.8).</w:t>
      </w:r>
    </w:p>
    <w:p w14:paraId="520B7F3C" w14:textId="6C05D3DA" w:rsidR="002D0229" w:rsidRDefault="00143766">
      <w:pPr>
        <w:pStyle w:val="Heading1"/>
        <w:pBdr>
          <w:bottom w:val="single" w:sz="8" w:space="4" w:color="1F3864"/>
        </w:pBdr>
        <w:spacing w:before="400" w:after="200"/>
      </w:pPr>
      <w:r>
        <w:rPr>
          <w:rFonts w:ascii="Calibri" w:eastAsia="Calibri" w:hAnsi="Calibri" w:cs="Calibri"/>
          <w:b/>
          <w:bCs/>
          <w:color w:val="1F3864"/>
          <w:sz w:val="28"/>
          <w:szCs w:val="28"/>
        </w:rPr>
        <w:t>7.0 LEGAL &amp; REGULATORY REGISTER</w:t>
      </w:r>
    </w:p>
    <w:p w14:paraId="1E1CF9D0" w14:textId="77777777" w:rsidR="002D0229" w:rsidRDefault="00000000">
      <w:pPr>
        <w:spacing w:after="140" w:line="276" w:lineRule="auto"/>
        <w:jc w:val="both"/>
      </w:pPr>
      <w:r>
        <w:rPr>
          <w:rFonts w:ascii="Calibri" w:eastAsia="Calibri" w:hAnsi="Calibri" w:cs="Calibri"/>
          <w:sz w:val="22"/>
          <w:szCs w:val="22"/>
        </w:rPr>
        <w:t>The output of this Process is maintained in a live Legal &amp; Regulatory Register, owned by the HSE Manager / Management Representative and available to all Employees, Contractors and Subcontractors. The Register template is structured as follows (populated register maintained separately as a controlled SWDA HSE-MS document):</w:t>
      </w: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0"/>
        <w:gridCol w:w="1750"/>
        <w:gridCol w:w="1300"/>
        <w:gridCol w:w="1600"/>
        <w:gridCol w:w="1200"/>
        <w:gridCol w:w="800"/>
        <w:gridCol w:w="850"/>
        <w:gridCol w:w="850"/>
        <w:gridCol w:w="850"/>
      </w:tblGrid>
      <w:tr w:rsidR="002D0229" w14:paraId="4D4B4763" w14:textId="77777777">
        <w:trPr>
          <w:tblHeader/>
        </w:trPr>
        <w:tc>
          <w:tcPr>
            <w:tcW w:w="650" w:type="dxa"/>
            <w:shd w:val="clear" w:color="auto" w:fill="1F3864"/>
            <w:tcMar>
              <w:top w:w="80" w:type="dxa"/>
              <w:left w:w="100" w:type="dxa"/>
              <w:bottom w:w="80" w:type="dxa"/>
              <w:right w:w="100" w:type="dxa"/>
            </w:tcMar>
            <w:vAlign w:val="center"/>
          </w:tcPr>
          <w:p w14:paraId="58A8724F" w14:textId="77777777" w:rsidR="002D0229" w:rsidRDefault="00000000">
            <w:r>
              <w:rPr>
                <w:rFonts w:ascii="Calibri" w:eastAsia="Calibri" w:hAnsi="Calibri" w:cs="Calibri"/>
                <w:b/>
                <w:bCs/>
                <w:color w:val="FFFFFF"/>
              </w:rPr>
              <w:t>Level</w:t>
            </w:r>
          </w:p>
        </w:tc>
        <w:tc>
          <w:tcPr>
            <w:tcW w:w="1750" w:type="dxa"/>
            <w:shd w:val="clear" w:color="auto" w:fill="1F3864"/>
            <w:tcMar>
              <w:top w:w="80" w:type="dxa"/>
              <w:left w:w="100" w:type="dxa"/>
              <w:bottom w:w="80" w:type="dxa"/>
              <w:right w:w="100" w:type="dxa"/>
            </w:tcMar>
            <w:vAlign w:val="center"/>
          </w:tcPr>
          <w:p w14:paraId="5136210E" w14:textId="77777777" w:rsidR="002D0229" w:rsidRDefault="00000000">
            <w:r>
              <w:rPr>
                <w:rFonts w:ascii="Calibri" w:eastAsia="Calibri" w:hAnsi="Calibri" w:cs="Calibri"/>
                <w:b/>
                <w:bCs/>
                <w:color w:val="FFFFFF"/>
              </w:rPr>
              <w:t>Regulation / Standard &amp; Issuing Body</w:t>
            </w:r>
          </w:p>
        </w:tc>
        <w:tc>
          <w:tcPr>
            <w:tcW w:w="1300" w:type="dxa"/>
            <w:shd w:val="clear" w:color="auto" w:fill="1F3864"/>
            <w:tcMar>
              <w:top w:w="80" w:type="dxa"/>
              <w:left w:w="100" w:type="dxa"/>
              <w:bottom w:w="80" w:type="dxa"/>
              <w:right w:w="100" w:type="dxa"/>
            </w:tcMar>
            <w:vAlign w:val="center"/>
          </w:tcPr>
          <w:p w14:paraId="249F068E" w14:textId="77777777" w:rsidR="002D0229" w:rsidRDefault="00000000">
            <w:r>
              <w:rPr>
                <w:rFonts w:ascii="Calibri" w:eastAsia="Calibri" w:hAnsi="Calibri" w:cs="Calibri"/>
                <w:b/>
                <w:bCs/>
                <w:color w:val="FFFFFF"/>
              </w:rPr>
              <w:t>Applicability to SWDA / Project</w:t>
            </w:r>
          </w:p>
        </w:tc>
        <w:tc>
          <w:tcPr>
            <w:tcW w:w="1600" w:type="dxa"/>
            <w:shd w:val="clear" w:color="auto" w:fill="1F3864"/>
            <w:tcMar>
              <w:top w:w="80" w:type="dxa"/>
              <w:left w:w="100" w:type="dxa"/>
              <w:bottom w:w="80" w:type="dxa"/>
              <w:right w:w="100" w:type="dxa"/>
            </w:tcMar>
            <w:vAlign w:val="center"/>
          </w:tcPr>
          <w:p w14:paraId="03CB41B8" w14:textId="77777777" w:rsidR="002D0229" w:rsidRDefault="00000000">
            <w:r>
              <w:rPr>
                <w:rFonts w:ascii="Calibri" w:eastAsia="Calibri" w:hAnsi="Calibri" w:cs="Calibri"/>
                <w:b/>
                <w:bCs/>
                <w:color w:val="FFFFFF"/>
              </w:rPr>
              <w:t>Requirement Summary</w:t>
            </w:r>
          </w:p>
        </w:tc>
        <w:tc>
          <w:tcPr>
            <w:tcW w:w="1200" w:type="dxa"/>
            <w:shd w:val="clear" w:color="auto" w:fill="1F3864"/>
            <w:tcMar>
              <w:top w:w="80" w:type="dxa"/>
              <w:left w:w="100" w:type="dxa"/>
              <w:bottom w:w="80" w:type="dxa"/>
              <w:right w:w="100" w:type="dxa"/>
            </w:tcMar>
            <w:vAlign w:val="center"/>
          </w:tcPr>
          <w:p w14:paraId="27A4D1F0" w14:textId="77777777" w:rsidR="002D0229" w:rsidRDefault="00000000">
            <w:r>
              <w:rPr>
                <w:rFonts w:ascii="Calibri" w:eastAsia="Calibri" w:hAnsi="Calibri" w:cs="Calibri"/>
                <w:b/>
                <w:bCs/>
                <w:color w:val="FFFFFF"/>
              </w:rPr>
              <w:t>SWDA Doc. Ref.</w:t>
            </w:r>
          </w:p>
        </w:tc>
        <w:tc>
          <w:tcPr>
            <w:tcW w:w="800" w:type="dxa"/>
            <w:shd w:val="clear" w:color="auto" w:fill="1F3864"/>
            <w:tcMar>
              <w:top w:w="80" w:type="dxa"/>
              <w:left w:w="100" w:type="dxa"/>
              <w:bottom w:w="80" w:type="dxa"/>
              <w:right w:w="100" w:type="dxa"/>
            </w:tcMar>
            <w:vAlign w:val="center"/>
          </w:tcPr>
          <w:p w14:paraId="7916B076" w14:textId="77777777" w:rsidR="002D0229" w:rsidRDefault="00000000">
            <w:r>
              <w:rPr>
                <w:rFonts w:ascii="Calibri" w:eastAsia="Calibri" w:hAnsi="Calibri" w:cs="Calibri"/>
                <w:b/>
                <w:bCs/>
                <w:color w:val="FFFFFF"/>
              </w:rPr>
              <w:t>Status</w:t>
            </w:r>
          </w:p>
        </w:tc>
        <w:tc>
          <w:tcPr>
            <w:tcW w:w="850" w:type="dxa"/>
            <w:shd w:val="clear" w:color="auto" w:fill="1F3864"/>
            <w:tcMar>
              <w:top w:w="80" w:type="dxa"/>
              <w:left w:w="100" w:type="dxa"/>
              <w:bottom w:w="80" w:type="dxa"/>
              <w:right w:w="100" w:type="dxa"/>
            </w:tcMar>
            <w:vAlign w:val="center"/>
          </w:tcPr>
          <w:p w14:paraId="767C9B9F" w14:textId="77777777" w:rsidR="002D0229" w:rsidRDefault="00000000">
            <w:r>
              <w:rPr>
                <w:rFonts w:ascii="Calibri" w:eastAsia="Calibri" w:hAnsi="Calibri" w:cs="Calibri"/>
                <w:b/>
                <w:bCs/>
                <w:color w:val="FFFFFF"/>
              </w:rPr>
              <w:t>Last Rev.</w:t>
            </w:r>
          </w:p>
        </w:tc>
        <w:tc>
          <w:tcPr>
            <w:tcW w:w="850" w:type="dxa"/>
            <w:shd w:val="clear" w:color="auto" w:fill="1F3864"/>
            <w:tcMar>
              <w:top w:w="80" w:type="dxa"/>
              <w:left w:w="100" w:type="dxa"/>
              <w:bottom w:w="80" w:type="dxa"/>
              <w:right w:w="100" w:type="dxa"/>
            </w:tcMar>
            <w:vAlign w:val="center"/>
          </w:tcPr>
          <w:p w14:paraId="256B0D3D" w14:textId="77777777" w:rsidR="002D0229" w:rsidRDefault="00000000">
            <w:r>
              <w:rPr>
                <w:rFonts w:ascii="Calibri" w:eastAsia="Calibri" w:hAnsi="Calibri" w:cs="Calibri"/>
                <w:b/>
                <w:bCs/>
                <w:color w:val="FFFFFF"/>
              </w:rPr>
              <w:t>Next Rev.</w:t>
            </w:r>
          </w:p>
        </w:tc>
        <w:tc>
          <w:tcPr>
            <w:tcW w:w="850" w:type="dxa"/>
            <w:shd w:val="clear" w:color="auto" w:fill="1F3864"/>
            <w:tcMar>
              <w:top w:w="80" w:type="dxa"/>
              <w:left w:w="100" w:type="dxa"/>
              <w:bottom w:w="80" w:type="dxa"/>
              <w:right w:w="100" w:type="dxa"/>
            </w:tcMar>
            <w:vAlign w:val="center"/>
          </w:tcPr>
          <w:p w14:paraId="16E794FC" w14:textId="77777777" w:rsidR="002D0229" w:rsidRDefault="00000000">
            <w:r>
              <w:rPr>
                <w:rFonts w:ascii="Calibri" w:eastAsia="Calibri" w:hAnsi="Calibri" w:cs="Calibri"/>
                <w:b/>
                <w:bCs/>
                <w:color w:val="FFFFFF"/>
              </w:rPr>
              <w:t>Owner</w:t>
            </w:r>
          </w:p>
        </w:tc>
      </w:tr>
      <w:tr w:rsidR="002D0229" w14:paraId="19C630CB" w14:textId="77777777">
        <w:tc>
          <w:tcPr>
            <w:tcW w:w="650" w:type="dxa"/>
            <w:shd w:val="clear" w:color="auto" w:fill="F2F2F2"/>
            <w:tcMar>
              <w:top w:w="80" w:type="dxa"/>
              <w:left w:w="100" w:type="dxa"/>
              <w:bottom w:w="80" w:type="dxa"/>
              <w:right w:w="100" w:type="dxa"/>
            </w:tcMar>
            <w:vAlign w:val="center"/>
          </w:tcPr>
          <w:p w14:paraId="5BFE7183" w14:textId="77777777" w:rsidR="002D0229" w:rsidRDefault="002D0229"/>
        </w:tc>
        <w:tc>
          <w:tcPr>
            <w:tcW w:w="1750" w:type="dxa"/>
            <w:shd w:val="clear" w:color="auto" w:fill="F2F2F2"/>
            <w:tcMar>
              <w:top w:w="80" w:type="dxa"/>
              <w:left w:w="100" w:type="dxa"/>
              <w:bottom w:w="80" w:type="dxa"/>
              <w:right w:w="100" w:type="dxa"/>
            </w:tcMar>
            <w:vAlign w:val="center"/>
          </w:tcPr>
          <w:p w14:paraId="4B55928B" w14:textId="77777777" w:rsidR="002D0229" w:rsidRDefault="002D0229"/>
        </w:tc>
        <w:tc>
          <w:tcPr>
            <w:tcW w:w="1300" w:type="dxa"/>
            <w:shd w:val="clear" w:color="auto" w:fill="F2F2F2"/>
            <w:tcMar>
              <w:top w:w="80" w:type="dxa"/>
              <w:left w:w="100" w:type="dxa"/>
              <w:bottom w:w="80" w:type="dxa"/>
              <w:right w:w="100" w:type="dxa"/>
            </w:tcMar>
            <w:vAlign w:val="center"/>
          </w:tcPr>
          <w:p w14:paraId="2CE3C42D" w14:textId="77777777" w:rsidR="002D0229" w:rsidRDefault="002D0229"/>
        </w:tc>
        <w:tc>
          <w:tcPr>
            <w:tcW w:w="1600" w:type="dxa"/>
            <w:shd w:val="clear" w:color="auto" w:fill="F2F2F2"/>
            <w:tcMar>
              <w:top w:w="80" w:type="dxa"/>
              <w:left w:w="100" w:type="dxa"/>
              <w:bottom w:w="80" w:type="dxa"/>
              <w:right w:w="100" w:type="dxa"/>
            </w:tcMar>
            <w:vAlign w:val="center"/>
          </w:tcPr>
          <w:p w14:paraId="38E9B87B" w14:textId="77777777" w:rsidR="002D0229" w:rsidRDefault="002D0229"/>
        </w:tc>
        <w:tc>
          <w:tcPr>
            <w:tcW w:w="1200" w:type="dxa"/>
            <w:shd w:val="clear" w:color="auto" w:fill="F2F2F2"/>
            <w:tcMar>
              <w:top w:w="80" w:type="dxa"/>
              <w:left w:w="100" w:type="dxa"/>
              <w:bottom w:w="80" w:type="dxa"/>
              <w:right w:w="100" w:type="dxa"/>
            </w:tcMar>
            <w:vAlign w:val="center"/>
          </w:tcPr>
          <w:p w14:paraId="7957211E" w14:textId="77777777" w:rsidR="002D0229" w:rsidRDefault="002D0229"/>
        </w:tc>
        <w:tc>
          <w:tcPr>
            <w:tcW w:w="800" w:type="dxa"/>
            <w:shd w:val="clear" w:color="auto" w:fill="F2F2F2"/>
            <w:tcMar>
              <w:top w:w="80" w:type="dxa"/>
              <w:left w:w="100" w:type="dxa"/>
              <w:bottom w:w="80" w:type="dxa"/>
              <w:right w:w="100" w:type="dxa"/>
            </w:tcMar>
            <w:vAlign w:val="center"/>
          </w:tcPr>
          <w:p w14:paraId="1E9E8552" w14:textId="77777777" w:rsidR="002D0229" w:rsidRDefault="002D0229"/>
        </w:tc>
        <w:tc>
          <w:tcPr>
            <w:tcW w:w="850" w:type="dxa"/>
            <w:shd w:val="clear" w:color="auto" w:fill="F2F2F2"/>
            <w:tcMar>
              <w:top w:w="80" w:type="dxa"/>
              <w:left w:w="100" w:type="dxa"/>
              <w:bottom w:w="80" w:type="dxa"/>
              <w:right w:w="100" w:type="dxa"/>
            </w:tcMar>
            <w:vAlign w:val="center"/>
          </w:tcPr>
          <w:p w14:paraId="426D535C" w14:textId="77777777" w:rsidR="002D0229" w:rsidRDefault="002D0229"/>
        </w:tc>
        <w:tc>
          <w:tcPr>
            <w:tcW w:w="850" w:type="dxa"/>
            <w:shd w:val="clear" w:color="auto" w:fill="F2F2F2"/>
            <w:tcMar>
              <w:top w:w="80" w:type="dxa"/>
              <w:left w:w="100" w:type="dxa"/>
              <w:bottom w:w="80" w:type="dxa"/>
              <w:right w:w="100" w:type="dxa"/>
            </w:tcMar>
            <w:vAlign w:val="center"/>
          </w:tcPr>
          <w:p w14:paraId="7723CF94" w14:textId="77777777" w:rsidR="002D0229" w:rsidRDefault="002D0229"/>
        </w:tc>
        <w:tc>
          <w:tcPr>
            <w:tcW w:w="850" w:type="dxa"/>
            <w:shd w:val="clear" w:color="auto" w:fill="F2F2F2"/>
            <w:tcMar>
              <w:top w:w="80" w:type="dxa"/>
              <w:left w:w="100" w:type="dxa"/>
              <w:bottom w:w="80" w:type="dxa"/>
              <w:right w:w="100" w:type="dxa"/>
            </w:tcMar>
            <w:vAlign w:val="center"/>
          </w:tcPr>
          <w:p w14:paraId="33DF54D5" w14:textId="77777777" w:rsidR="002D0229" w:rsidRDefault="002D0229"/>
        </w:tc>
      </w:tr>
      <w:tr w:rsidR="002D0229" w14:paraId="3C5422CE" w14:textId="77777777">
        <w:tc>
          <w:tcPr>
            <w:tcW w:w="650" w:type="dxa"/>
            <w:shd w:val="clear" w:color="auto" w:fill="FFFFFF"/>
            <w:tcMar>
              <w:top w:w="80" w:type="dxa"/>
              <w:left w:w="100" w:type="dxa"/>
              <w:bottom w:w="80" w:type="dxa"/>
              <w:right w:w="100" w:type="dxa"/>
            </w:tcMar>
            <w:vAlign w:val="center"/>
          </w:tcPr>
          <w:p w14:paraId="634AA52D" w14:textId="77777777" w:rsidR="002D0229" w:rsidRDefault="002D0229"/>
        </w:tc>
        <w:tc>
          <w:tcPr>
            <w:tcW w:w="1750" w:type="dxa"/>
            <w:shd w:val="clear" w:color="auto" w:fill="FFFFFF"/>
            <w:tcMar>
              <w:top w:w="80" w:type="dxa"/>
              <w:left w:w="100" w:type="dxa"/>
              <w:bottom w:w="80" w:type="dxa"/>
              <w:right w:w="100" w:type="dxa"/>
            </w:tcMar>
            <w:vAlign w:val="center"/>
          </w:tcPr>
          <w:p w14:paraId="41AF897D" w14:textId="77777777" w:rsidR="002D0229" w:rsidRDefault="002D0229"/>
        </w:tc>
        <w:tc>
          <w:tcPr>
            <w:tcW w:w="1300" w:type="dxa"/>
            <w:shd w:val="clear" w:color="auto" w:fill="FFFFFF"/>
            <w:tcMar>
              <w:top w:w="80" w:type="dxa"/>
              <w:left w:w="100" w:type="dxa"/>
              <w:bottom w:w="80" w:type="dxa"/>
              <w:right w:w="100" w:type="dxa"/>
            </w:tcMar>
            <w:vAlign w:val="center"/>
          </w:tcPr>
          <w:p w14:paraId="063A4799" w14:textId="77777777" w:rsidR="002D0229" w:rsidRDefault="002D0229"/>
        </w:tc>
        <w:tc>
          <w:tcPr>
            <w:tcW w:w="1600" w:type="dxa"/>
            <w:shd w:val="clear" w:color="auto" w:fill="FFFFFF"/>
            <w:tcMar>
              <w:top w:w="80" w:type="dxa"/>
              <w:left w:w="100" w:type="dxa"/>
              <w:bottom w:w="80" w:type="dxa"/>
              <w:right w:w="100" w:type="dxa"/>
            </w:tcMar>
            <w:vAlign w:val="center"/>
          </w:tcPr>
          <w:p w14:paraId="04D95B21" w14:textId="77777777" w:rsidR="002D0229" w:rsidRDefault="002D0229"/>
        </w:tc>
        <w:tc>
          <w:tcPr>
            <w:tcW w:w="1200" w:type="dxa"/>
            <w:shd w:val="clear" w:color="auto" w:fill="FFFFFF"/>
            <w:tcMar>
              <w:top w:w="80" w:type="dxa"/>
              <w:left w:w="100" w:type="dxa"/>
              <w:bottom w:w="80" w:type="dxa"/>
              <w:right w:w="100" w:type="dxa"/>
            </w:tcMar>
            <w:vAlign w:val="center"/>
          </w:tcPr>
          <w:p w14:paraId="2189AA5A" w14:textId="77777777" w:rsidR="002D0229" w:rsidRDefault="002D0229"/>
        </w:tc>
        <w:tc>
          <w:tcPr>
            <w:tcW w:w="800" w:type="dxa"/>
            <w:shd w:val="clear" w:color="auto" w:fill="FFFFFF"/>
            <w:tcMar>
              <w:top w:w="80" w:type="dxa"/>
              <w:left w:w="100" w:type="dxa"/>
              <w:bottom w:w="80" w:type="dxa"/>
              <w:right w:w="100" w:type="dxa"/>
            </w:tcMar>
            <w:vAlign w:val="center"/>
          </w:tcPr>
          <w:p w14:paraId="3958FC5D" w14:textId="77777777" w:rsidR="002D0229" w:rsidRDefault="002D0229"/>
        </w:tc>
        <w:tc>
          <w:tcPr>
            <w:tcW w:w="850" w:type="dxa"/>
            <w:shd w:val="clear" w:color="auto" w:fill="FFFFFF"/>
            <w:tcMar>
              <w:top w:w="80" w:type="dxa"/>
              <w:left w:w="100" w:type="dxa"/>
              <w:bottom w:w="80" w:type="dxa"/>
              <w:right w:w="100" w:type="dxa"/>
            </w:tcMar>
            <w:vAlign w:val="center"/>
          </w:tcPr>
          <w:p w14:paraId="25D64212" w14:textId="77777777" w:rsidR="002D0229" w:rsidRDefault="002D0229"/>
        </w:tc>
        <w:tc>
          <w:tcPr>
            <w:tcW w:w="850" w:type="dxa"/>
            <w:shd w:val="clear" w:color="auto" w:fill="FFFFFF"/>
            <w:tcMar>
              <w:top w:w="80" w:type="dxa"/>
              <w:left w:w="100" w:type="dxa"/>
              <w:bottom w:w="80" w:type="dxa"/>
              <w:right w:w="100" w:type="dxa"/>
            </w:tcMar>
            <w:vAlign w:val="center"/>
          </w:tcPr>
          <w:p w14:paraId="27B16E8D" w14:textId="77777777" w:rsidR="002D0229" w:rsidRDefault="002D0229"/>
        </w:tc>
        <w:tc>
          <w:tcPr>
            <w:tcW w:w="850" w:type="dxa"/>
            <w:shd w:val="clear" w:color="auto" w:fill="FFFFFF"/>
            <w:tcMar>
              <w:top w:w="80" w:type="dxa"/>
              <w:left w:w="100" w:type="dxa"/>
              <w:bottom w:w="80" w:type="dxa"/>
              <w:right w:w="100" w:type="dxa"/>
            </w:tcMar>
            <w:vAlign w:val="center"/>
          </w:tcPr>
          <w:p w14:paraId="5CEAF209" w14:textId="77777777" w:rsidR="002D0229" w:rsidRDefault="002D0229"/>
        </w:tc>
      </w:tr>
      <w:tr w:rsidR="002D0229" w14:paraId="065F94FE" w14:textId="77777777">
        <w:tc>
          <w:tcPr>
            <w:tcW w:w="650" w:type="dxa"/>
            <w:shd w:val="clear" w:color="auto" w:fill="F2F2F2"/>
            <w:tcMar>
              <w:top w:w="80" w:type="dxa"/>
              <w:left w:w="100" w:type="dxa"/>
              <w:bottom w:w="80" w:type="dxa"/>
              <w:right w:w="100" w:type="dxa"/>
            </w:tcMar>
            <w:vAlign w:val="center"/>
          </w:tcPr>
          <w:p w14:paraId="02C80305" w14:textId="77777777" w:rsidR="002D0229" w:rsidRDefault="002D0229"/>
        </w:tc>
        <w:tc>
          <w:tcPr>
            <w:tcW w:w="1750" w:type="dxa"/>
            <w:shd w:val="clear" w:color="auto" w:fill="F2F2F2"/>
            <w:tcMar>
              <w:top w:w="80" w:type="dxa"/>
              <w:left w:w="100" w:type="dxa"/>
              <w:bottom w:w="80" w:type="dxa"/>
              <w:right w:w="100" w:type="dxa"/>
            </w:tcMar>
            <w:vAlign w:val="center"/>
          </w:tcPr>
          <w:p w14:paraId="4E28838C" w14:textId="77777777" w:rsidR="002D0229" w:rsidRDefault="002D0229"/>
        </w:tc>
        <w:tc>
          <w:tcPr>
            <w:tcW w:w="1300" w:type="dxa"/>
            <w:shd w:val="clear" w:color="auto" w:fill="F2F2F2"/>
            <w:tcMar>
              <w:top w:w="80" w:type="dxa"/>
              <w:left w:w="100" w:type="dxa"/>
              <w:bottom w:w="80" w:type="dxa"/>
              <w:right w:w="100" w:type="dxa"/>
            </w:tcMar>
            <w:vAlign w:val="center"/>
          </w:tcPr>
          <w:p w14:paraId="034B7C90" w14:textId="77777777" w:rsidR="002D0229" w:rsidRDefault="002D0229"/>
        </w:tc>
        <w:tc>
          <w:tcPr>
            <w:tcW w:w="1600" w:type="dxa"/>
            <w:shd w:val="clear" w:color="auto" w:fill="F2F2F2"/>
            <w:tcMar>
              <w:top w:w="80" w:type="dxa"/>
              <w:left w:w="100" w:type="dxa"/>
              <w:bottom w:w="80" w:type="dxa"/>
              <w:right w:w="100" w:type="dxa"/>
            </w:tcMar>
            <w:vAlign w:val="center"/>
          </w:tcPr>
          <w:p w14:paraId="01F65D9C" w14:textId="77777777" w:rsidR="002D0229" w:rsidRDefault="002D0229"/>
        </w:tc>
        <w:tc>
          <w:tcPr>
            <w:tcW w:w="1200" w:type="dxa"/>
            <w:shd w:val="clear" w:color="auto" w:fill="F2F2F2"/>
            <w:tcMar>
              <w:top w:w="80" w:type="dxa"/>
              <w:left w:w="100" w:type="dxa"/>
              <w:bottom w:w="80" w:type="dxa"/>
              <w:right w:w="100" w:type="dxa"/>
            </w:tcMar>
            <w:vAlign w:val="center"/>
          </w:tcPr>
          <w:p w14:paraId="6371CD1D" w14:textId="77777777" w:rsidR="002D0229" w:rsidRDefault="002D0229"/>
        </w:tc>
        <w:tc>
          <w:tcPr>
            <w:tcW w:w="800" w:type="dxa"/>
            <w:shd w:val="clear" w:color="auto" w:fill="F2F2F2"/>
            <w:tcMar>
              <w:top w:w="80" w:type="dxa"/>
              <w:left w:w="100" w:type="dxa"/>
              <w:bottom w:w="80" w:type="dxa"/>
              <w:right w:w="100" w:type="dxa"/>
            </w:tcMar>
            <w:vAlign w:val="center"/>
          </w:tcPr>
          <w:p w14:paraId="1FD6BF27" w14:textId="77777777" w:rsidR="002D0229" w:rsidRDefault="002D0229"/>
        </w:tc>
        <w:tc>
          <w:tcPr>
            <w:tcW w:w="850" w:type="dxa"/>
            <w:shd w:val="clear" w:color="auto" w:fill="F2F2F2"/>
            <w:tcMar>
              <w:top w:w="80" w:type="dxa"/>
              <w:left w:w="100" w:type="dxa"/>
              <w:bottom w:w="80" w:type="dxa"/>
              <w:right w:w="100" w:type="dxa"/>
            </w:tcMar>
            <w:vAlign w:val="center"/>
          </w:tcPr>
          <w:p w14:paraId="0C700367" w14:textId="77777777" w:rsidR="002D0229" w:rsidRDefault="002D0229"/>
        </w:tc>
        <w:tc>
          <w:tcPr>
            <w:tcW w:w="850" w:type="dxa"/>
            <w:shd w:val="clear" w:color="auto" w:fill="F2F2F2"/>
            <w:tcMar>
              <w:top w:w="80" w:type="dxa"/>
              <w:left w:w="100" w:type="dxa"/>
              <w:bottom w:w="80" w:type="dxa"/>
              <w:right w:w="100" w:type="dxa"/>
            </w:tcMar>
            <w:vAlign w:val="center"/>
          </w:tcPr>
          <w:p w14:paraId="403F3DCA" w14:textId="77777777" w:rsidR="002D0229" w:rsidRDefault="002D0229"/>
        </w:tc>
        <w:tc>
          <w:tcPr>
            <w:tcW w:w="850" w:type="dxa"/>
            <w:shd w:val="clear" w:color="auto" w:fill="F2F2F2"/>
            <w:tcMar>
              <w:top w:w="80" w:type="dxa"/>
              <w:left w:w="100" w:type="dxa"/>
              <w:bottom w:w="80" w:type="dxa"/>
              <w:right w:w="100" w:type="dxa"/>
            </w:tcMar>
            <w:vAlign w:val="center"/>
          </w:tcPr>
          <w:p w14:paraId="55325123" w14:textId="77777777" w:rsidR="002D0229" w:rsidRDefault="002D0229"/>
        </w:tc>
      </w:tr>
    </w:tbl>
    <w:p w14:paraId="338516AF" w14:textId="77777777" w:rsidR="00143766" w:rsidRDefault="00143766">
      <w:pPr>
        <w:pStyle w:val="Heading1"/>
        <w:pBdr>
          <w:bottom w:val="single" w:sz="8" w:space="4" w:color="1F3864"/>
        </w:pBdr>
        <w:spacing w:before="400" w:after="200"/>
        <w:rPr>
          <w:rFonts w:ascii="Calibri" w:eastAsia="Calibri" w:hAnsi="Calibri" w:cs="Calibri"/>
          <w:b/>
          <w:bCs/>
          <w:color w:val="1F3864"/>
          <w:sz w:val="28"/>
          <w:szCs w:val="28"/>
        </w:rPr>
      </w:pPr>
    </w:p>
    <w:p w14:paraId="5FA131EF" w14:textId="77777777" w:rsidR="00143766" w:rsidRDefault="00143766">
      <w:pPr>
        <w:pStyle w:val="Heading1"/>
        <w:pBdr>
          <w:bottom w:val="single" w:sz="8" w:space="4" w:color="1F3864"/>
        </w:pBdr>
        <w:spacing w:before="400" w:after="200"/>
        <w:rPr>
          <w:rFonts w:ascii="Calibri" w:eastAsia="Calibri" w:hAnsi="Calibri" w:cs="Calibri"/>
          <w:b/>
          <w:bCs/>
          <w:color w:val="1F3864"/>
          <w:sz w:val="28"/>
          <w:szCs w:val="28"/>
        </w:rPr>
      </w:pPr>
    </w:p>
    <w:p w14:paraId="1BE38F9F" w14:textId="13C3F52B" w:rsidR="002D0229" w:rsidRDefault="00143766">
      <w:pPr>
        <w:pStyle w:val="Heading1"/>
        <w:pBdr>
          <w:bottom w:val="single" w:sz="8" w:space="4" w:color="1F3864"/>
        </w:pBdr>
        <w:spacing w:before="400" w:after="200"/>
      </w:pPr>
      <w:r>
        <w:rPr>
          <w:rFonts w:ascii="Calibri" w:eastAsia="Calibri" w:hAnsi="Calibri" w:cs="Calibri"/>
          <w:b/>
          <w:bCs/>
          <w:color w:val="1F3864"/>
          <w:sz w:val="28"/>
          <w:szCs w:val="28"/>
        </w:rPr>
        <w:t>8.0 REVIEW FREQUENCY &amp; TRIGGERS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50"/>
      </w:tblGrid>
      <w:tr w:rsidR="002D0229" w14:paraId="6139C7A4" w14:textId="77777777">
        <w:trPr>
          <w:tblHeader/>
        </w:trPr>
        <w:tc>
          <w:tcPr>
            <w:tcW w:w="2600" w:type="dxa"/>
            <w:shd w:val="clear" w:color="auto" w:fill="1F3864"/>
            <w:tcMar>
              <w:top w:w="80" w:type="dxa"/>
              <w:left w:w="100" w:type="dxa"/>
              <w:bottom w:w="80" w:type="dxa"/>
              <w:right w:w="100" w:type="dxa"/>
            </w:tcMar>
            <w:vAlign w:val="center"/>
          </w:tcPr>
          <w:p w14:paraId="040974D9" w14:textId="77777777" w:rsidR="002D0229" w:rsidRDefault="00000000">
            <w:r>
              <w:rPr>
                <w:rFonts w:ascii="Calibri" w:eastAsia="Calibri" w:hAnsi="Calibri" w:cs="Calibri"/>
                <w:b/>
                <w:bCs/>
                <w:color w:val="FFFFFF"/>
              </w:rPr>
              <w:t>REVIEW TYPE</w:t>
            </w:r>
          </w:p>
        </w:tc>
        <w:tc>
          <w:tcPr>
            <w:tcW w:w="6750" w:type="dxa"/>
            <w:shd w:val="clear" w:color="auto" w:fill="1F3864"/>
            <w:tcMar>
              <w:top w:w="80" w:type="dxa"/>
              <w:left w:w="100" w:type="dxa"/>
              <w:bottom w:w="80" w:type="dxa"/>
              <w:right w:w="100" w:type="dxa"/>
            </w:tcMar>
            <w:vAlign w:val="center"/>
          </w:tcPr>
          <w:p w14:paraId="79D45124" w14:textId="77777777" w:rsidR="002D0229" w:rsidRDefault="00000000">
            <w:r>
              <w:rPr>
                <w:rFonts w:ascii="Calibri" w:eastAsia="Calibri" w:hAnsi="Calibri" w:cs="Calibri"/>
                <w:b/>
                <w:bCs/>
                <w:color w:val="FFFFFF"/>
              </w:rPr>
              <w:t>TIMING / TRIGGER</w:t>
            </w:r>
          </w:p>
        </w:tc>
      </w:tr>
      <w:tr w:rsidR="002D0229" w14:paraId="33E0841B" w14:textId="77777777">
        <w:tc>
          <w:tcPr>
            <w:tcW w:w="2600" w:type="dxa"/>
            <w:shd w:val="clear" w:color="auto" w:fill="F2F2F2"/>
            <w:tcMar>
              <w:top w:w="80" w:type="dxa"/>
              <w:left w:w="100" w:type="dxa"/>
              <w:bottom w:w="80" w:type="dxa"/>
              <w:right w:w="100" w:type="dxa"/>
            </w:tcMar>
            <w:vAlign w:val="center"/>
          </w:tcPr>
          <w:p w14:paraId="00ACB845" w14:textId="77777777" w:rsidR="002D0229" w:rsidRDefault="00000000">
            <w:r>
              <w:rPr>
                <w:rFonts w:ascii="Calibri" w:eastAsia="Calibri" w:hAnsi="Calibri" w:cs="Calibri"/>
                <w:b/>
                <w:bCs/>
                <w:color w:val="000000"/>
              </w:rPr>
              <w:t>Scheduled Full Review</w:t>
            </w:r>
          </w:p>
        </w:tc>
        <w:tc>
          <w:tcPr>
            <w:tcW w:w="6750" w:type="dxa"/>
            <w:shd w:val="clear" w:color="auto" w:fill="F2F2F2"/>
            <w:tcMar>
              <w:top w:w="80" w:type="dxa"/>
              <w:left w:w="100" w:type="dxa"/>
              <w:bottom w:w="80" w:type="dxa"/>
              <w:right w:w="100" w:type="dxa"/>
            </w:tcMar>
            <w:vAlign w:val="center"/>
          </w:tcPr>
          <w:p w14:paraId="7D25F2CC" w14:textId="77777777" w:rsidR="002D0229" w:rsidRDefault="00000000">
            <w:r>
              <w:rPr>
                <w:rFonts w:ascii="Calibri" w:eastAsia="Calibri" w:hAnsi="Calibri" w:cs="Calibri"/>
                <w:color w:val="000000"/>
              </w:rPr>
              <w:t>Annually, aligned with the SWDA HSE-MS System Review (Ref. HSEP Sec. 4.8) and prior to the annual HSE Policy re-endorsement (Ref. HSEP Sec. 4.9).</w:t>
            </w:r>
          </w:p>
        </w:tc>
      </w:tr>
      <w:tr w:rsidR="002D0229" w14:paraId="0C40DB4E" w14:textId="77777777">
        <w:tc>
          <w:tcPr>
            <w:tcW w:w="2600" w:type="dxa"/>
            <w:shd w:val="clear" w:color="auto" w:fill="FFFFFF"/>
            <w:tcMar>
              <w:top w:w="80" w:type="dxa"/>
              <w:left w:w="100" w:type="dxa"/>
              <w:bottom w:w="80" w:type="dxa"/>
              <w:right w:w="100" w:type="dxa"/>
            </w:tcMar>
            <w:vAlign w:val="center"/>
          </w:tcPr>
          <w:p w14:paraId="4738D8E6" w14:textId="77777777" w:rsidR="002D0229" w:rsidRDefault="00000000">
            <w:r>
              <w:rPr>
                <w:rFonts w:ascii="Calibri" w:eastAsia="Calibri" w:hAnsi="Calibri" w:cs="Calibri"/>
                <w:b/>
                <w:bCs/>
                <w:color w:val="000000"/>
              </w:rPr>
              <w:t>Scheduled Interim Screening</w:t>
            </w:r>
          </w:p>
        </w:tc>
        <w:tc>
          <w:tcPr>
            <w:tcW w:w="6750" w:type="dxa"/>
            <w:shd w:val="clear" w:color="auto" w:fill="FFFFFF"/>
            <w:tcMar>
              <w:top w:w="80" w:type="dxa"/>
              <w:left w:w="100" w:type="dxa"/>
              <w:bottom w:w="80" w:type="dxa"/>
              <w:right w:w="100" w:type="dxa"/>
            </w:tcMar>
            <w:vAlign w:val="center"/>
          </w:tcPr>
          <w:p w14:paraId="6AE5C844" w14:textId="77777777" w:rsidR="002D0229" w:rsidRDefault="00000000">
            <w:r>
              <w:rPr>
                <w:rFonts w:ascii="Calibri" w:eastAsia="Calibri" w:hAnsi="Calibri" w:cs="Calibri"/>
                <w:color w:val="000000"/>
              </w:rPr>
              <w:t>Quarterly desktop screening of regulator, standards-body and Client (RAEC/NUPRC) bulletins by the HSE Advisor / Compliance Focal Point.</w:t>
            </w:r>
          </w:p>
        </w:tc>
      </w:tr>
      <w:tr w:rsidR="002D0229" w14:paraId="3BEF2883" w14:textId="77777777">
        <w:tc>
          <w:tcPr>
            <w:tcW w:w="2600" w:type="dxa"/>
            <w:shd w:val="clear" w:color="auto" w:fill="F2F2F2"/>
            <w:tcMar>
              <w:top w:w="80" w:type="dxa"/>
              <w:left w:w="100" w:type="dxa"/>
              <w:bottom w:w="80" w:type="dxa"/>
              <w:right w:w="100" w:type="dxa"/>
            </w:tcMar>
            <w:vAlign w:val="center"/>
          </w:tcPr>
          <w:p w14:paraId="2F2A09E4" w14:textId="77777777" w:rsidR="002D0229" w:rsidRDefault="00000000">
            <w:r>
              <w:rPr>
                <w:rFonts w:ascii="Calibri" w:eastAsia="Calibri" w:hAnsi="Calibri" w:cs="Calibri"/>
                <w:b/>
                <w:bCs/>
                <w:color w:val="000000"/>
              </w:rPr>
              <w:t>Triggered Review</w:t>
            </w:r>
          </w:p>
        </w:tc>
        <w:tc>
          <w:tcPr>
            <w:tcW w:w="6750" w:type="dxa"/>
            <w:shd w:val="clear" w:color="auto" w:fill="F2F2F2"/>
            <w:tcMar>
              <w:top w:w="80" w:type="dxa"/>
              <w:left w:w="100" w:type="dxa"/>
              <w:bottom w:w="80" w:type="dxa"/>
              <w:right w:w="100" w:type="dxa"/>
            </w:tcMar>
            <w:vAlign w:val="center"/>
          </w:tcPr>
          <w:p w14:paraId="7ACA3F66" w14:textId="77777777" w:rsidR="002D0229" w:rsidRDefault="00000000">
            <w:r>
              <w:rPr>
                <w:rFonts w:ascii="Calibri" w:eastAsia="Calibri" w:hAnsi="Calibri" w:cs="Calibri"/>
                <w:color w:val="000000"/>
              </w:rPr>
              <w:t>Within 10 working days of: (a) publication of new or amended legislation, regulation or license condition; (b) a regulatory inspection, audit finding or enforcement notice; (c) a change in Project Scope of Work, location or Client HSE requirement; (d) an incident/near-miss where regulatory or standards non-conformance is a contributing factor; (e) issue of a new or revised international/industry standard referenced in the HSE-MS.</w:t>
            </w:r>
          </w:p>
        </w:tc>
      </w:tr>
      <w:tr w:rsidR="002D0229" w14:paraId="383168A4" w14:textId="77777777">
        <w:tc>
          <w:tcPr>
            <w:tcW w:w="2600" w:type="dxa"/>
            <w:shd w:val="clear" w:color="auto" w:fill="FFFFFF"/>
            <w:tcMar>
              <w:top w:w="80" w:type="dxa"/>
              <w:left w:w="100" w:type="dxa"/>
              <w:bottom w:w="80" w:type="dxa"/>
              <w:right w:w="100" w:type="dxa"/>
            </w:tcMar>
            <w:vAlign w:val="center"/>
          </w:tcPr>
          <w:p w14:paraId="60F1F830" w14:textId="77777777" w:rsidR="002D0229" w:rsidRDefault="00000000">
            <w:r>
              <w:rPr>
                <w:rFonts w:ascii="Calibri" w:eastAsia="Calibri" w:hAnsi="Calibri" w:cs="Calibri"/>
                <w:b/>
                <w:bCs/>
                <w:color w:val="000000"/>
              </w:rPr>
              <w:t>Pre-</w:t>
            </w:r>
            <w:proofErr w:type="spellStart"/>
            <w:r>
              <w:rPr>
                <w:rFonts w:ascii="Calibri" w:eastAsia="Calibri" w:hAnsi="Calibri" w:cs="Calibri"/>
                <w:b/>
                <w:bCs/>
                <w:color w:val="000000"/>
              </w:rPr>
              <w:t>Mobilisation</w:t>
            </w:r>
            <w:proofErr w:type="spellEnd"/>
            <w:r>
              <w:rPr>
                <w:rFonts w:ascii="Calibri" w:eastAsia="Calibri" w:hAnsi="Calibri" w:cs="Calibri"/>
                <w:b/>
                <w:bCs/>
                <w:color w:val="000000"/>
              </w:rPr>
              <w:t xml:space="preserve"> Review</w:t>
            </w:r>
          </w:p>
        </w:tc>
        <w:tc>
          <w:tcPr>
            <w:tcW w:w="6750" w:type="dxa"/>
            <w:shd w:val="clear" w:color="auto" w:fill="FFFFFF"/>
            <w:tcMar>
              <w:top w:w="80" w:type="dxa"/>
              <w:left w:w="100" w:type="dxa"/>
              <w:bottom w:w="80" w:type="dxa"/>
              <w:right w:w="100" w:type="dxa"/>
            </w:tcMar>
            <w:vAlign w:val="center"/>
          </w:tcPr>
          <w:p w14:paraId="3DCB3808" w14:textId="77777777" w:rsidR="002D0229" w:rsidRDefault="00000000">
            <w:r>
              <w:rPr>
                <w:rFonts w:ascii="Calibri" w:eastAsia="Calibri" w:hAnsi="Calibri" w:cs="Calibri"/>
                <w:color w:val="000000"/>
              </w:rPr>
              <w:t xml:space="preserve">Prior to </w:t>
            </w:r>
            <w:proofErr w:type="spellStart"/>
            <w:r>
              <w:rPr>
                <w:rFonts w:ascii="Calibri" w:eastAsia="Calibri" w:hAnsi="Calibri" w:cs="Calibri"/>
                <w:color w:val="000000"/>
              </w:rPr>
              <w:t>mobilisation</w:t>
            </w:r>
            <w:proofErr w:type="spellEnd"/>
            <w:r>
              <w:rPr>
                <w:rFonts w:ascii="Calibri" w:eastAsia="Calibri" w:hAnsi="Calibri" w:cs="Calibri"/>
                <w:color w:val="000000"/>
              </w:rPr>
              <w:t xml:space="preserve"> to each new Tank Site / Renaissance facility, to confirm State- and site-specific permits, community agreements and local requirements are current (Ref. HSEP Sec. 2.1).</w:t>
            </w:r>
          </w:p>
        </w:tc>
      </w:tr>
    </w:tbl>
    <w:p w14:paraId="5A883E55" w14:textId="5D98463A" w:rsidR="002D0229" w:rsidRDefault="00143766">
      <w:pPr>
        <w:pStyle w:val="Heading1"/>
        <w:pBdr>
          <w:bottom w:val="single" w:sz="8" w:space="4" w:color="1F3864"/>
        </w:pBdr>
        <w:spacing w:before="400" w:after="200"/>
      </w:pPr>
      <w:r>
        <w:rPr>
          <w:rFonts w:ascii="Calibri" w:eastAsia="Calibri" w:hAnsi="Calibri" w:cs="Calibri"/>
          <w:b/>
          <w:bCs/>
          <w:color w:val="1F3864"/>
          <w:sz w:val="28"/>
          <w:szCs w:val="28"/>
        </w:rPr>
        <w:t>9.0 REGULATORY REVIEW COMMITTEE (RRC)</w:t>
      </w:r>
    </w:p>
    <w:p w14:paraId="37CC2C27" w14:textId="77777777" w:rsidR="002D0229" w:rsidRDefault="00000000">
      <w:pPr>
        <w:spacing w:after="140" w:line="276" w:lineRule="auto"/>
        <w:jc w:val="both"/>
      </w:pPr>
      <w:r>
        <w:rPr>
          <w:rFonts w:ascii="Calibri" w:eastAsia="Calibri" w:hAnsi="Calibri" w:cs="Calibri"/>
          <w:sz w:val="22"/>
          <w:szCs w:val="22"/>
        </w:rPr>
        <w:t>The RRC is chaired by the HSE Manager / Management Representative and comprises the Legal/Compliance Focal Point, Project HSE Officers, and representatives of Operations, Community/Stakeholder Engagement and Quality. The RRC meets at minimum quarterly (Section 8) and reports outcomes into the annual HSE-MS System Review described in HSEP Section 4.8, including:</w:t>
      </w:r>
    </w:p>
    <w:p w14:paraId="2EC6B5E0" w14:textId="77777777" w:rsidR="002D0229" w:rsidRDefault="00000000">
      <w:pPr>
        <w:pStyle w:val="ListParagraph"/>
        <w:numPr>
          <w:ilvl w:val="0"/>
          <w:numId w:val="2"/>
        </w:numPr>
        <w:spacing w:after="90" w:line="276" w:lineRule="auto"/>
      </w:pPr>
      <w:r>
        <w:rPr>
          <w:rFonts w:ascii="Calibri" w:eastAsia="Calibri" w:hAnsi="Calibri" w:cs="Calibri"/>
          <w:sz w:val="22"/>
          <w:szCs w:val="22"/>
        </w:rPr>
        <w:t>Newly identified or amended regulations and standards, and their impact assessment;</w:t>
      </w:r>
    </w:p>
    <w:p w14:paraId="183C26D2" w14:textId="77777777" w:rsidR="002D0229" w:rsidRDefault="00000000">
      <w:pPr>
        <w:pStyle w:val="ListParagraph"/>
        <w:numPr>
          <w:ilvl w:val="0"/>
          <w:numId w:val="2"/>
        </w:numPr>
        <w:spacing w:after="90" w:line="276" w:lineRule="auto"/>
      </w:pPr>
      <w:r>
        <w:rPr>
          <w:rFonts w:ascii="Calibri" w:eastAsia="Calibri" w:hAnsi="Calibri" w:cs="Calibri"/>
          <w:sz w:val="22"/>
          <w:szCs w:val="22"/>
        </w:rPr>
        <w:t>Status of the Legal &amp; Regulatory Register, including any open gaps and their close-out target dates;</w:t>
      </w:r>
    </w:p>
    <w:p w14:paraId="56AA14F6" w14:textId="77777777" w:rsidR="002D0229" w:rsidRDefault="00000000">
      <w:pPr>
        <w:pStyle w:val="ListParagraph"/>
        <w:numPr>
          <w:ilvl w:val="0"/>
          <w:numId w:val="2"/>
        </w:numPr>
        <w:spacing w:after="90" w:line="276" w:lineRule="auto"/>
      </w:pPr>
      <w:r>
        <w:rPr>
          <w:rFonts w:ascii="Calibri" w:eastAsia="Calibri" w:hAnsi="Calibri" w:cs="Calibri"/>
          <w:sz w:val="22"/>
          <w:szCs w:val="22"/>
        </w:rPr>
        <w:t>Recommended amendments to the SWDA HSE Policy, HSE-MS documents, HSEP or Site-Specific HSE Plans; and,</w:t>
      </w:r>
    </w:p>
    <w:p w14:paraId="55F316EE" w14:textId="77777777" w:rsidR="002D0229" w:rsidRDefault="00000000">
      <w:pPr>
        <w:pStyle w:val="ListParagraph"/>
        <w:numPr>
          <w:ilvl w:val="0"/>
          <w:numId w:val="2"/>
        </w:numPr>
        <w:spacing w:after="90" w:line="276" w:lineRule="auto"/>
      </w:pPr>
      <w:r>
        <w:rPr>
          <w:rFonts w:ascii="Calibri" w:eastAsia="Calibri" w:hAnsi="Calibri" w:cs="Calibri"/>
          <w:sz w:val="22"/>
          <w:szCs w:val="22"/>
        </w:rPr>
        <w:t>Training or communication needs arising from regulatory or standards change.</w:t>
      </w:r>
    </w:p>
    <w:p w14:paraId="69C38213" w14:textId="481D6469" w:rsidR="002D0229" w:rsidRDefault="00143766">
      <w:pPr>
        <w:pStyle w:val="Heading1"/>
        <w:pBdr>
          <w:bottom w:val="single" w:sz="8" w:space="4" w:color="1F3864"/>
        </w:pBdr>
        <w:spacing w:before="400" w:after="200"/>
      </w:pPr>
      <w:r>
        <w:rPr>
          <w:rFonts w:ascii="Calibri" w:eastAsia="Calibri" w:hAnsi="Calibri" w:cs="Calibri"/>
          <w:b/>
          <w:bCs/>
          <w:color w:val="1F3864"/>
          <w:sz w:val="28"/>
          <w:szCs w:val="28"/>
        </w:rPr>
        <w:t>10.0 COMMUNICATION, TRAINING &amp; DOCUMENT CONTROL</w:t>
      </w:r>
    </w:p>
    <w:p w14:paraId="0C61F609" w14:textId="77777777" w:rsidR="002D0229" w:rsidRDefault="00000000">
      <w:pPr>
        <w:spacing w:after="140" w:line="276" w:lineRule="auto"/>
        <w:jc w:val="both"/>
      </w:pPr>
      <w:r>
        <w:rPr>
          <w:rFonts w:ascii="Calibri" w:eastAsia="Calibri" w:hAnsi="Calibri" w:cs="Calibri"/>
          <w:sz w:val="22"/>
          <w:szCs w:val="22"/>
        </w:rPr>
        <w:t>Approved changes arising from this Process are communicated through toolbox talks, HSE inductions/refresher training, HSE bulletins, and revision of the relevant controlled document, consistent with the document control requirements of HSEP Section 4.3.4 (HSE Standards and Documents). Superseded versions are withdrawn from circulation and archived; the current Legal &amp; Regulatory Register and any HSE-MS documents it affects are re-issued with an updated revision number and distributed to all Project sites and relevant Contractors/Subcontractors.</w:t>
      </w:r>
    </w:p>
    <w:p w14:paraId="598FA634" w14:textId="77777777" w:rsidR="00143766" w:rsidRDefault="00143766">
      <w:pPr>
        <w:pStyle w:val="Heading1"/>
        <w:pBdr>
          <w:bottom w:val="single" w:sz="8" w:space="4" w:color="1F3864"/>
        </w:pBdr>
        <w:spacing w:before="400" w:after="200"/>
        <w:rPr>
          <w:rFonts w:ascii="Calibri" w:eastAsia="Calibri" w:hAnsi="Calibri" w:cs="Calibri"/>
          <w:b/>
          <w:bCs/>
          <w:color w:val="1F3864"/>
          <w:sz w:val="28"/>
          <w:szCs w:val="28"/>
        </w:rPr>
      </w:pPr>
    </w:p>
    <w:p w14:paraId="3C6E9510" w14:textId="77777777" w:rsidR="00143766" w:rsidRDefault="00143766">
      <w:pPr>
        <w:pStyle w:val="Heading1"/>
        <w:pBdr>
          <w:bottom w:val="single" w:sz="8" w:space="4" w:color="1F3864"/>
        </w:pBdr>
        <w:spacing w:before="400" w:after="200"/>
        <w:rPr>
          <w:rFonts w:ascii="Calibri" w:eastAsia="Calibri" w:hAnsi="Calibri" w:cs="Calibri"/>
          <w:b/>
          <w:bCs/>
          <w:color w:val="1F3864"/>
          <w:sz w:val="28"/>
          <w:szCs w:val="28"/>
        </w:rPr>
      </w:pPr>
    </w:p>
    <w:p w14:paraId="252876A9" w14:textId="76E7F9FF" w:rsidR="002D0229" w:rsidRDefault="00143766">
      <w:pPr>
        <w:pStyle w:val="Heading1"/>
        <w:pBdr>
          <w:bottom w:val="single" w:sz="8" w:space="4" w:color="1F3864"/>
        </w:pBdr>
        <w:spacing w:before="400" w:after="200"/>
      </w:pPr>
      <w:r>
        <w:rPr>
          <w:rFonts w:ascii="Calibri" w:eastAsia="Calibri" w:hAnsi="Calibri" w:cs="Calibri"/>
          <w:b/>
          <w:bCs/>
          <w:color w:val="1F3864"/>
          <w:sz w:val="28"/>
          <w:szCs w:val="28"/>
        </w:rPr>
        <w:t>11.0 VERIFICATION &amp; AUDIT</w:t>
      </w:r>
    </w:p>
    <w:p w14:paraId="1C5CFE80" w14:textId="77777777" w:rsidR="002D0229" w:rsidRDefault="00000000">
      <w:pPr>
        <w:spacing w:after="140" w:line="276" w:lineRule="auto"/>
        <w:jc w:val="both"/>
      </w:pPr>
      <w:r>
        <w:rPr>
          <w:rFonts w:ascii="Calibri" w:eastAsia="Calibri" w:hAnsi="Calibri" w:cs="Calibri"/>
          <w:sz w:val="22"/>
          <w:szCs w:val="22"/>
        </w:rPr>
        <w:t xml:space="preserve">Compliance with this Process, and the currency of the Legal &amp; Regulatory Register, is verified through the SWDA HSE Audit </w:t>
      </w:r>
      <w:proofErr w:type="spellStart"/>
      <w:r>
        <w:rPr>
          <w:rFonts w:ascii="Calibri" w:eastAsia="Calibri" w:hAnsi="Calibri" w:cs="Calibri"/>
          <w:sz w:val="22"/>
          <w:szCs w:val="22"/>
        </w:rPr>
        <w:t>Programme</w:t>
      </w:r>
      <w:proofErr w:type="spellEnd"/>
      <w:r>
        <w:rPr>
          <w:rFonts w:ascii="Calibri" w:eastAsia="Calibri" w:hAnsi="Calibri" w:cs="Calibri"/>
          <w:sz w:val="22"/>
          <w:szCs w:val="22"/>
        </w:rPr>
        <w:t xml:space="preserve"> (HSEP Section 4.7) and forms a standing item of the annual Management Review of the HSE-MS (HSEP Section 4.8). Any non-conformance identified is logged, assigned an owner and target close-out date, and tracked to close-out in line with SWDA's corrective and preventive action procedures.</w:t>
      </w:r>
    </w:p>
    <w:sectPr w:rsidR="002D0229">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99083" w14:textId="77777777" w:rsidR="00C850BB" w:rsidRDefault="00C850BB">
      <w:r>
        <w:separator/>
      </w:r>
    </w:p>
  </w:endnote>
  <w:endnote w:type="continuationSeparator" w:id="0">
    <w:p w14:paraId="3AB9E763" w14:textId="77777777" w:rsidR="00C850BB" w:rsidRDefault="00C8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FCBD2" w14:textId="77777777" w:rsidR="002D0229" w:rsidRDefault="00000000">
    <w:pPr>
      <w:jc w:val="center"/>
    </w:pPr>
    <w:r>
      <w:rPr>
        <w:rFonts w:ascii="Calibri" w:eastAsia="Calibri" w:hAnsi="Calibri" w:cs="Calibri"/>
        <w:color w:val="666666"/>
        <w:sz w:val="16"/>
        <w:szCs w:val="16"/>
      </w:rPr>
      <w:t xml:space="preserve">South West Design Africa Ltd. (SWDA)  |  Page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PAGE</w:instrText>
    </w:r>
    <w:r>
      <w:rPr>
        <w:rFonts w:ascii="Calibri" w:eastAsia="Calibri" w:hAnsi="Calibri" w:cs="Calibri"/>
        <w:color w:val="666666"/>
        <w:sz w:val="16"/>
        <w:szCs w:val="16"/>
      </w:rPr>
      <w:fldChar w:fldCharType="separate"/>
    </w:r>
    <w:r w:rsidR="00666F6D">
      <w:rPr>
        <w:rFonts w:ascii="Calibri" w:eastAsia="Calibri" w:hAnsi="Calibri" w:cs="Calibri"/>
        <w:noProof/>
        <w:color w:val="666666"/>
        <w:sz w:val="16"/>
        <w:szCs w:val="16"/>
      </w:rPr>
      <w:t>1</w:t>
    </w:r>
    <w:r>
      <w:rPr>
        <w:rFonts w:ascii="Calibri" w:eastAsia="Calibri" w:hAnsi="Calibri" w:cs="Calibri"/>
        <w:color w:val="666666"/>
        <w:sz w:val="16"/>
        <w:szCs w:val="16"/>
      </w:rPr>
      <w:fldChar w:fldCharType="end"/>
    </w:r>
    <w:r>
      <w:rPr>
        <w:rFonts w:ascii="Calibri" w:eastAsia="Calibri" w:hAnsi="Calibri" w:cs="Calibri"/>
        <w:color w:val="666666"/>
        <w:sz w:val="16"/>
        <w:szCs w:val="16"/>
      </w:rPr>
      <w:t xml:space="preserve"> of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NUMPAGES</w:instrText>
    </w:r>
    <w:r>
      <w:rPr>
        <w:rFonts w:ascii="Calibri" w:eastAsia="Calibri" w:hAnsi="Calibri" w:cs="Calibri"/>
        <w:color w:val="666666"/>
        <w:sz w:val="16"/>
        <w:szCs w:val="16"/>
      </w:rPr>
      <w:fldChar w:fldCharType="separate"/>
    </w:r>
    <w:r w:rsidR="00666F6D">
      <w:rPr>
        <w:rFonts w:ascii="Calibri" w:eastAsia="Calibri" w:hAnsi="Calibri" w:cs="Calibri"/>
        <w:noProof/>
        <w:color w:val="666666"/>
        <w:sz w:val="16"/>
        <w:szCs w:val="16"/>
      </w:rPr>
      <w:t>2</w:t>
    </w:r>
    <w:r>
      <w:rPr>
        <w:rFonts w:ascii="Calibri" w:eastAsia="Calibri" w:hAnsi="Calibri" w:cs="Calibri"/>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06BDB" w14:textId="77777777" w:rsidR="00C850BB" w:rsidRDefault="00C850BB">
      <w:r>
        <w:separator/>
      </w:r>
    </w:p>
  </w:footnote>
  <w:footnote w:type="continuationSeparator" w:id="0">
    <w:p w14:paraId="1ABCC7A6" w14:textId="77777777" w:rsidR="00C850BB" w:rsidRDefault="00C85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27821" w14:textId="5B020CEC" w:rsidR="002D0229" w:rsidRDefault="00000000">
    <w:pPr>
      <w:pBdr>
        <w:bottom w:val="single" w:sz="6" w:space="4" w:color="1F3864"/>
      </w:pBdr>
      <w:jc w:val="center"/>
    </w:pPr>
    <w:r>
      <w:rPr>
        <w:rFonts w:ascii="Calibri" w:eastAsia="Calibri" w:hAnsi="Calibri" w:cs="Calibri"/>
        <w:i/>
        <w:iCs/>
        <w:color w:val="666666"/>
        <w:sz w:val="16"/>
        <w:szCs w:val="16"/>
      </w:rPr>
      <w:t>SWDA  – Regulatory &amp; Standards Review Process (supports HSEP Sec. 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D3A6D"/>
    <w:multiLevelType w:val="hybridMultilevel"/>
    <w:tmpl w:val="6D28FBBE"/>
    <w:lvl w:ilvl="0" w:tplc="39B64C50">
      <w:start w:val="1"/>
      <w:numFmt w:val="decimal"/>
      <w:lvlText w:val="%1."/>
      <w:lvlJc w:val="left"/>
      <w:pPr>
        <w:ind w:left="460" w:hanging="260"/>
      </w:pPr>
    </w:lvl>
    <w:lvl w:ilvl="1" w:tplc="150499F4">
      <w:numFmt w:val="decimal"/>
      <w:lvlText w:val=""/>
      <w:lvlJc w:val="left"/>
    </w:lvl>
    <w:lvl w:ilvl="2" w:tplc="C9A088FA">
      <w:numFmt w:val="decimal"/>
      <w:lvlText w:val=""/>
      <w:lvlJc w:val="left"/>
    </w:lvl>
    <w:lvl w:ilvl="3" w:tplc="73420CE0">
      <w:numFmt w:val="decimal"/>
      <w:lvlText w:val=""/>
      <w:lvlJc w:val="left"/>
    </w:lvl>
    <w:lvl w:ilvl="4" w:tplc="523421D4">
      <w:numFmt w:val="decimal"/>
      <w:lvlText w:val=""/>
      <w:lvlJc w:val="left"/>
    </w:lvl>
    <w:lvl w:ilvl="5" w:tplc="26A4B4B2">
      <w:numFmt w:val="decimal"/>
      <w:lvlText w:val=""/>
      <w:lvlJc w:val="left"/>
    </w:lvl>
    <w:lvl w:ilvl="6" w:tplc="BC5CC7DC">
      <w:numFmt w:val="decimal"/>
      <w:lvlText w:val=""/>
      <w:lvlJc w:val="left"/>
    </w:lvl>
    <w:lvl w:ilvl="7" w:tplc="FFFCF1E6">
      <w:numFmt w:val="decimal"/>
      <w:lvlText w:val=""/>
      <w:lvlJc w:val="left"/>
    </w:lvl>
    <w:lvl w:ilvl="8" w:tplc="ADCC1160">
      <w:numFmt w:val="decimal"/>
      <w:lvlText w:val=""/>
      <w:lvlJc w:val="left"/>
    </w:lvl>
  </w:abstractNum>
  <w:abstractNum w:abstractNumId="1" w15:restartNumberingAfterBreak="0">
    <w:nsid w:val="628E1E1B"/>
    <w:multiLevelType w:val="hybridMultilevel"/>
    <w:tmpl w:val="6F627A84"/>
    <w:lvl w:ilvl="0" w:tplc="8730B2D2">
      <w:start w:val="1"/>
      <w:numFmt w:val="bullet"/>
      <w:lvlText w:val="●"/>
      <w:lvlJc w:val="left"/>
      <w:pPr>
        <w:ind w:left="720" w:hanging="360"/>
      </w:pPr>
    </w:lvl>
    <w:lvl w:ilvl="1" w:tplc="DA405B92">
      <w:start w:val="1"/>
      <w:numFmt w:val="bullet"/>
      <w:lvlText w:val="○"/>
      <w:lvlJc w:val="left"/>
      <w:pPr>
        <w:ind w:left="1440" w:hanging="360"/>
      </w:pPr>
    </w:lvl>
    <w:lvl w:ilvl="2" w:tplc="597AFE58">
      <w:start w:val="1"/>
      <w:numFmt w:val="bullet"/>
      <w:lvlText w:val="■"/>
      <w:lvlJc w:val="left"/>
      <w:pPr>
        <w:ind w:left="2160" w:hanging="360"/>
      </w:pPr>
    </w:lvl>
    <w:lvl w:ilvl="3" w:tplc="1618F1FC">
      <w:start w:val="1"/>
      <w:numFmt w:val="bullet"/>
      <w:lvlText w:val="●"/>
      <w:lvlJc w:val="left"/>
      <w:pPr>
        <w:ind w:left="2880" w:hanging="360"/>
      </w:pPr>
    </w:lvl>
    <w:lvl w:ilvl="4" w:tplc="E9F61DA8">
      <w:start w:val="1"/>
      <w:numFmt w:val="bullet"/>
      <w:lvlText w:val="○"/>
      <w:lvlJc w:val="left"/>
      <w:pPr>
        <w:ind w:left="3600" w:hanging="360"/>
      </w:pPr>
    </w:lvl>
    <w:lvl w:ilvl="5" w:tplc="1AE89068">
      <w:start w:val="1"/>
      <w:numFmt w:val="bullet"/>
      <w:lvlText w:val="■"/>
      <w:lvlJc w:val="left"/>
      <w:pPr>
        <w:ind w:left="4320" w:hanging="360"/>
      </w:pPr>
    </w:lvl>
    <w:lvl w:ilvl="6" w:tplc="56D6C6D6">
      <w:start w:val="1"/>
      <w:numFmt w:val="bullet"/>
      <w:lvlText w:val="●"/>
      <w:lvlJc w:val="left"/>
      <w:pPr>
        <w:ind w:left="5040" w:hanging="360"/>
      </w:pPr>
    </w:lvl>
    <w:lvl w:ilvl="7" w:tplc="85A2253E">
      <w:start w:val="1"/>
      <w:numFmt w:val="bullet"/>
      <w:lvlText w:val="●"/>
      <w:lvlJc w:val="left"/>
      <w:pPr>
        <w:ind w:left="5760" w:hanging="360"/>
      </w:pPr>
    </w:lvl>
    <w:lvl w:ilvl="8" w:tplc="42DEB712">
      <w:start w:val="1"/>
      <w:numFmt w:val="bullet"/>
      <w:lvlText w:val="●"/>
      <w:lvlJc w:val="left"/>
      <w:pPr>
        <w:ind w:left="6480" w:hanging="360"/>
      </w:pPr>
    </w:lvl>
  </w:abstractNum>
  <w:abstractNum w:abstractNumId="2" w15:restartNumberingAfterBreak="0">
    <w:nsid w:val="7A4D38C9"/>
    <w:multiLevelType w:val="hybridMultilevel"/>
    <w:tmpl w:val="5D481B70"/>
    <w:lvl w:ilvl="0" w:tplc="0DCCD200">
      <w:start w:val="1"/>
      <w:numFmt w:val="bullet"/>
      <w:lvlText w:val="•"/>
      <w:lvlJc w:val="left"/>
      <w:pPr>
        <w:ind w:left="460" w:hanging="260"/>
      </w:pPr>
    </w:lvl>
    <w:lvl w:ilvl="1" w:tplc="F08CA920">
      <w:start w:val="1"/>
      <w:numFmt w:val="bullet"/>
      <w:lvlText w:val="o"/>
      <w:lvlJc w:val="left"/>
      <w:pPr>
        <w:ind w:left="820" w:hanging="260"/>
      </w:pPr>
    </w:lvl>
    <w:lvl w:ilvl="2" w:tplc="C5C252EE">
      <w:numFmt w:val="decimal"/>
      <w:lvlText w:val=""/>
      <w:lvlJc w:val="left"/>
    </w:lvl>
    <w:lvl w:ilvl="3" w:tplc="EDC0A216">
      <w:numFmt w:val="decimal"/>
      <w:lvlText w:val=""/>
      <w:lvlJc w:val="left"/>
    </w:lvl>
    <w:lvl w:ilvl="4" w:tplc="D8D2A41A">
      <w:numFmt w:val="decimal"/>
      <w:lvlText w:val=""/>
      <w:lvlJc w:val="left"/>
    </w:lvl>
    <w:lvl w:ilvl="5" w:tplc="EA961F80">
      <w:numFmt w:val="decimal"/>
      <w:lvlText w:val=""/>
      <w:lvlJc w:val="left"/>
    </w:lvl>
    <w:lvl w:ilvl="6" w:tplc="E6389812">
      <w:numFmt w:val="decimal"/>
      <w:lvlText w:val=""/>
      <w:lvlJc w:val="left"/>
    </w:lvl>
    <w:lvl w:ilvl="7" w:tplc="5A20D444">
      <w:numFmt w:val="decimal"/>
      <w:lvlText w:val=""/>
      <w:lvlJc w:val="left"/>
    </w:lvl>
    <w:lvl w:ilvl="8" w:tplc="B814454C">
      <w:numFmt w:val="decimal"/>
      <w:lvlText w:val=""/>
      <w:lvlJc w:val="left"/>
    </w:lvl>
  </w:abstractNum>
  <w:num w:numId="1" w16cid:durableId="1049574315">
    <w:abstractNumId w:val="1"/>
    <w:lvlOverride w:ilvl="0">
      <w:startOverride w:val="1"/>
    </w:lvlOverride>
  </w:num>
  <w:num w:numId="2" w16cid:durableId="165952844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229"/>
    <w:rsid w:val="00143766"/>
    <w:rsid w:val="001E748B"/>
    <w:rsid w:val="00261274"/>
    <w:rsid w:val="002D0229"/>
    <w:rsid w:val="004E7F04"/>
    <w:rsid w:val="005818B9"/>
    <w:rsid w:val="00666F6D"/>
    <w:rsid w:val="00703F6D"/>
    <w:rsid w:val="00C850BB"/>
    <w:rsid w:val="00D2647D"/>
    <w:rsid w:val="00F13E0C"/>
    <w:rsid w:val="00F34653"/>
    <w:rsid w:val="00F62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84212"/>
  <w15:docId w15:val="{5E490A37-2400-43C4-BC13-82FBBF6D7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34653"/>
    <w:pPr>
      <w:tabs>
        <w:tab w:val="center" w:pos="4680"/>
        <w:tab w:val="right" w:pos="9360"/>
      </w:tabs>
    </w:pPr>
  </w:style>
  <w:style w:type="character" w:customStyle="1" w:styleId="HeaderChar">
    <w:name w:val="Header Char"/>
    <w:basedOn w:val="DefaultParagraphFont"/>
    <w:link w:val="Header"/>
    <w:uiPriority w:val="99"/>
    <w:rsid w:val="00F34653"/>
  </w:style>
  <w:style w:type="paragraph" w:styleId="Footer">
    <w:name w:val="footer"/>
    <w:basedOn w:val="Normal"/>
    <w:link w:val="FooterChar"/>
    <w:uiPriority w:val="99"/>
    <w:unhideWhenUsed/>
    <w:rsid w:val="00F34653"/>
    <w:pPr>
      <w:tabs>
        <w:tab w:val="center" w:pos="4680"/>
        <w:tab w:val="right" w:pos="9360"/>
      </w:tabs>
    </w:pPr>
  </w:style>
  <w:style w:type="character" w:customStyle="1" w:styleId="FooterChar">
    <w:name w:val="Footer Char"/>
    <w:basedOn w:val="DefaultParagraphFont"/>
    <w:link w:val="Footer"/>
    <w:uiPriority w:val="99"/>
    <w:rsid w:val="00F34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1872</Words>
  <Characters>10676</Characters>
  <Application>Microsoft Office Word</Application>
  <DocSecurity>0</DocSecurity>
  <Lines>88</Lines>
  <Paragraphs>25</Paragraphs>
  <ScaleCrop>false</ScaleCrop>
  <Company/>
  <LinksUpToDate>false</LinksUpToDate>
  <CharactersWithSpaces>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Maryann Ihejirika</cp:lastModifiedBy>
  <cp:revision>7</cp:revision>
  <dcterms:created xsi:type="dcterms:W3CDTF">2026-08-04T11:24:00Z</dcterms:created>
  <dcterms:modified xsi:type="dcterms:W3CDTF">2026-08-05T08:13:00Z</dcterms:modified>
</cp:coreProperties>
</file>